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F7" w:rsidRPr="00B87343" w:rsidRDefault="00B87343" w:rsidP="00E643F7">
      <w:pPr>
        <w:autoSpaceDE w:val="0"/>
        <w:autoSpaceDN w:val="0"/>
        <w:adjustRightInd w:val="0"/>
        <w:spacing w:after="0" w:line="240" w:lineRule="auto"/>
        <w:jc w:val="center"/>
        <w:rPr>
          <w:rFonts w:cs="HelveticaNeue"/>
          <w:b/>
          <w:color w:val="1F3864" w:themeColor="accent5" w:themeShade="80"/>
          <w:sz w:val="28"/>
          <w:szCs w:val="28"/>
        </w:rPr>
      </w:pPr>
      <w:r w:rsidRPr="00B87343">
        <w:rPr>
          <w:rFonts w:cs="HelveticaNeue"/>
          <w:b/>
          <w:color w:val="1F3864" w:themeColor="accent5" w:themeShade="80"/>
          <w:sz w:val="28"/>
          <w:szCs w:val="28"/>
        </w:rPr>
        <w:t>Modello progetto per avviso pubblico per lo sviluppo del pensiero computazionale, della creatività digitale e delle competenze di “cittadinanza digitale”, a supporto dell’offerta formativa</w:t>
      </w:r>
    </w:p>
    <w:p w:rsidR="00E643F7" w:rsidRPr="00B87343" w:rsidRDefault="00E643F7" w:rsidP="00E643F7">
      <w:pPr>
        <w:autoSpaceDE w:val="0"/>
        <w:autoSpaceDN w:val="0"/>
        <w:adjustRightInd w:val="0"/>
        <w:spacing w:after="0" w:line="240" w:lineRule="auto"/>
        <w:rPr>
          <w:rFonts w:cs="HelveticaNeue"/>
        </w:rPr>
      </w:pPr>
    </w:p>
    <w:p w:rsidR="00B87343" w:rsidRPr="00E86E3A" w:rsidRDefault="00B87343" w:rsidP="00E86E3A">
      <w:pPr>
        <w:pStyle w:val="Sottotitolo"/>
        <w:jc w:val="center"/>
        <w:rPr>
          <w:b/>
          <w:color w:val="1F4E79" w:themeColor="accent1" w:themeShade="80"/>
          <w:sz w:val="24"/>
          <w:szCs w:val="24"/>
        </w:rPr>
      </w:pPr>
      <w:r w:rsidRPr="00E86E3A">
        <w:rPr>
          <w:b/>
          <w:color w:val="1F4E79" w:themeColor="accent1" w:themeShade="80"/>
          <w:sz w:val="24"/>
          <w:szCs w:val="24"/>
        </w:rPr>
        <w:t>Fondi strutturali Europei – Programma Operativo Nazionale “Per la scuola, competenze e ambienti per l’apprendimento” 2014-2020</w:t>
      </w:r>
    </w:p>
    <w:p w:rsidR="00B87343" w:rsidRPr="00E86E3A" w:rsidRDefault="00B87343" w:rsidP="00E86E3A">
      <w:pPr>
        <w:jc w:val="center"/>
        <w:rPr>
          <w:color w:val="1F4E79" w:themeColor="accent1" w:themeShade="80"/>
        </w:rPr>
      </w:pPr>
      <w:r w:rsidRPr="00E86E3A">
        <w:rPr>
          <w:color w:val="1F4E79" w:themeColor="accent1" w:themeShade="80"/>
        </w:rPr>
        <w:t>Asse I – Istruzione – Fondo Sociale Europeo (FSE) Obiettivo Specifico 10.2 – Azione 10.2.2</w:t>
      </w:r>
    </w:p>
    <w:p w:rsidR="00B87343" w:rsidRPr="00B87343" w:rsidRDefault="00E86E3A" w:rsidP="00B87343">
      <w:pPr>
        <w:pStyle w:val="Sottotitolo"/>
        <w:rPr>
          <w:color w:val="auto"/>
        </w:rPr>
      </w:pPr>
      <w:r>
        <w:rPr>
          <w:color w:val="auto"/>
        </w:rPr>
        <w:t>Di seguito alcuni suggerimenti per la compilazione del bando</w:t>
      </w:r>
    </w:p>
    <w:p w:rsidR="00B87343" w:rsidRPr="00B87343" w:rsidRDefault="00B87343" w:rsidP="00B87343">
      <w:pPr>
        <w:rPr>
          <w:color w:val="70AD47" w:themeColor="accent6"/>
        </w:rPr>
      </w:pPr>
      <w:r w:rsidRPr="00B87343">
        <w:rPr>
          <w:color w:val="70AD47" w:themeColor="accent6"/>
        </w:rPr>
        <w:t>Indicazioni pratiche:</w:t>
      </w:r>
    </w:p>
    <w:p w:rsidR="00B87343" w:rsidRDefault="00B87343" w:rsidP="00B87343">
      <w:pPr>
        <w:pStyle w:val="Paragrafoelenco"/>
        <w:numPr>
          <w:ilvl w:val="0"/>
          <w:numId w:val="1"/>
        </w:numPr>
        <w:rPr>
          <w:color w:val="70AD47" w:themeColor="accent6"/>
        </w:rPr>
      </w:pPr>
      <w:r w:rsidRPr="00B87343">
        <w:rPr>
          <w:color w:val="70AD47" w:themeColor="accent6"/>
        </w:rPr>
        <w:t xml:space="preserve">Le parti di testo presentate in verde sono quelle modificabili e personalizzabili. </w:t>
      </w:r>
    </w:p>
    <w:p w:rsidR="00E86E3A" w:rsidRPr="001700D0" w:rsidRDefault="00E86E3A" w:rsidP="00E86E3A">
      <w:pPr>
        <w:rPr>
          <w:b/>
          <w:color w:val="2E74B5" w:themeColor="accent1" w:themeShade="BF"/>
          <w:sz w:val="32"/>
          <w:szCs w:val="32"/>
          <w:u w:val="single"/>
        </w:rPr>
      </w:pPr>
      <w:r w:rsidRPr="001700D0">
        <w:rPr>
          <w:b/>
          <w:color w:val="2E74B5" w:themeColor="accent1" w:themeShade="BF"/>
          <w:sz w:val="32"/>
          <w:szCs w:val="32"/>
          <w:u w:val="single"/>
        </w:rPr>
        <w:t>Finalità dell’avviso</w:t>
      </w:r>
    </w:p>
    <w:p w:rsidR="00E86E3A" w:rsidRPr="00E86E3A" w:rsidRDefault="00E86E3A" w:rsidP="00E86E3A">
      <w:pPr>
        <w:autoSpaceDE w:val="0"/>
        <w:autoSpaceDN w:val="0"/>
        <w:adjustRightInd w:val="0"/>
        <w:spacing w:afterLines="60" w:after="144" w:line="240" w:lineRule="auto"/>
        <w:rPr>
          <w:rFonts w:cs="Corbel"/>
        </w:rPr>
      </w:pPr>
      <w:r w:rsidRPr="00E86E3A">
        <w:rPr>
          <w:rFonts w:cs="Corbel"/>
        </w:rPr>
        <w:t>Il presente Avviso pubblico si inserisce nel quadro di azioni finalizzate all’innalzamento delle</w:t>
      </w:r>
      <w:r>
        <w:rPr>
          <w:rFonts w:cs="Corbel"/>
        </w:rPr>
        <w:t xml:space="preserve"> </w:t>
      </w:r>
      <w:r w:rsidRPr="00E86E3A">
        <w:rPr>
          <w:rFonts w:cs="Corbel"/>
        </w:rPr>
        <w:t>competenze di base, di cui all’Obiettivo Specifico 10.2 del Programma Operativo Nazionale “Per la Scuola</w:t>
      </w:r>
      <w:r>
        <w:rPr>
          <w:rFonts w:cs="Corbel"/>
        </w:rPr>
        <w:t xml:space="preserve"> </w:t>
      </w:r>
      <w:r w:rsidRPr="00E86E3A">
        <w:rPr>
          <w:rFonts w:cs="Corbel"/>
        </w:rPr>
        <w:t>– Competenze e ambienti per l’apprendimento” per il periodo di programmazione 2014-2020.</w:t>
      </w:r>
    </w:p>
    <w:p w:rsidR="00E86E3A" w:rsidRPr="00E86E3A" w:rsidRDefault="00E86E3A" w:rsidP="00E86E3A">
      <w:pPr>
        <w:autoSpaceDE w:val="0"/>
        <w:autoSpaceDN w:val="0"/>
        <w:adjustRightInd w:val="0"/>
        <w:spacing w:afterLines="60" w:after="144" w:line="240" w:lineRule="auto"/>
        <w:rPr>
          <w:rFonts w:cs="Corbel"/>
        </w:rPr>
      </w:pPr>
      <w:r w:rsidRPr="00E86E3A">
        <w:rPr>
          <w:rFonts w:cs="Corbel"/>
        </w:rPr>
        <w:t>In particolare, questo avviso pone l’attenzione sulle competenze digitali, sempre più riconosciute come</w:t>
      </w:r>
      <w:r>
        <w:rPr>
          <w:rFonts w:cs="Corbel"/>
        </w:rPr>
        <w:t xml:space="preserve"> </w:t>
      </w:r>
      <w:r w:rsidRPr="00E86E3A">
        <w:rPr>
          <w:rFonts w:cs="Corbel"/>
        </w:rPr>
        <w:t>requisito fondamentale per lo sviluppo sostenibile del nostro Paese e per l’esercizio di una piena</w:t>
      </w:r>
      <w:r>
        <w:rPr>
          <w:rFonts w:cs="Corbel"/>
        </w:rPr>
        <w:t xml:space="preserve"> </w:t>
      </w:r>
      <w:r w:rsidRPr="00E86E3A">
        <w:rPr>
          <w:rFonts w:cs="Corbel"/>
        </w:rPr>
        <w:t>cittadinanza nell’era dell’informazione.</w:t>
      </w:r>
    </w:p>
    <w:p w:rsidR="00E86E3A" w:rsidRPr="00E86E3A" w:rsidRDefault="00E86E3A" w:rsidP="00E86E3A">
      <w:pPr>
        <w:autoSpaceDE w:val="0"/>
        <w:autoSpaceDN w:val="0"/>
        <w:adjustRightInd w:val="0"/>
        <w:spacing w:afterLines="60" w:after="144" w:line="240" w:lineRule="auto"/>
        <w:rPr>
          <w:rFonts w:cs="Corbel,Italic"/>
          <w:i/>
          <w:iCs/>
        </w:rPr>
      </w:pPr>
      <w:r w:rsidRPr="00E86E3A">
        <w:rPr>
          <w:rFonts w:cs="Corbel"/>
        </w:rPr>
        <w:t>Come specificato all’interno del Piano nazionale per la scuola digitale, “</w:t>
      </w:r>
      <w:r w:rsidRPr="00E86E3A">
        <w:rPr>
          <w:rFonts w:cs="Corbel,Italic"/>
          <w:i/>
          <w:iCs/>
        </w:rPr>
        <w:t>[...] le tecnologie digitali</w:t>
      </w:r>
      <w:r>
        <w:rPr>
          <w:rFonts w:cs="Corbel,Italic"/>
          <w:i/>
          <w:iCs/>
        </w:rPr>
        <w:t xml:space="preserve"> </w:t>
      </w:r>
      <w:r w:rsidRPr="00E86E3A">
        <w:rPr>
          <w:rFonts w:cs="Corbel,Italic"/>
          <w:i/>
          <w:iCs/>
        </w:rPr>
        <w:t>intervengono a supporto di tutte le dimensioni delle competenze trasversali. Ma si inseriscono anche</w:t>
      </w:r>
      <w:r>
        <w:rPr>
          <w:rFonts w:cs="Corbel,Italic"/>
          <w:i/>
          <w:iCs/>
        </w:rPr>
        <w:t xml:space="preserve"> </w:t>
      </w:r>
      <w:r w:rsidRPr="00E86E3A">
        <w:rPr>
          <w:rFonts w:cs="Corbel,Italic"/>
          <w:i/>
          <w:iCs/>
        </w:rPr>
        <w:t>verticalmente, in quanto parte dell’alfabetizzazione del nostro tempo e</w:t>
      </w:r>
      <w:r>
        <w:rPr>
          <w:rFonts w:cs="Corbel,Italic"/>
          <w:i/>
          <w:iCs/>
        </w:rPr>
        <w:t xml:space="preserve"> fondamentali competenze per un </w:t>
      </w:r>
      <w:r w:rsidRPr="00E86E3A">
        <w:rPr>
          <w:rFonts w:cs="Corbel,Italic"/>
          <w:i/>
          <w:iCs/>
        </w:rPr>
        <w:t>cittadinanza piena, attiva e informata, come anticipato dalla Raccomandazione del Parlamento Europeo e del</w:t>
      </w:r>
    </w:p>
    <w:p w:rsidR="00E86E3A" w:rsidRPr="00E86E3A" w:rsidRDefault="00E86E3A" w:rsidP="00E86E3A">
      <w:pPr>
        <w:autoSpaceDE w:val="0"/>
        <w:autoSpaceDN w:val="0"/>
        <w:adjustRightInd w:val="0"/>
        <w:spacing w:afterLines="60" w:after="144" w:line="240" w:lineRule="auto"/>
        <w:rPr>
          <w:rFonts w:cs="Corbel"/>
        </w:rPr>
      </w:pPr>
      <w:r w:rsidRPr="00E86E3A">
        <w:rPr>
          <w:rFonts w:cs="Corbel,Italic"/>
          <w:i/>
          <w:iCs/>
        </w:rPr>
        <w:t xml:space="preserve">Consiglio d’Europa e come ancor meglio sottolineato da </w:t>
      </w:r>
      <w:proofErr w:type="spellStart"/>
      <w:r w:rsidRPr="00E86E3A">
        <w:rPr>
          <w:rFonts w:cs="Corbel,Italic"/>
          <w:i/>
          <w:iCs/>
        </w:rPr>
        <w:t>framework</w:t>
      </w:r>
      <w:proofErr w:type="spellEnd"/>
      <w:r w:rsidRPr="00E86E3A">
        <w:rPr>
          <w:rFonts w:cs="Corbel,Italic"/>
          <w:i/>
          <w:iCs/>
        </w:rPr>
        <w:t xml:space="preserve"> come 21st Century </w:t>
      </w:r>
      <w:proofErr w:type="spellStart"/>
      <w:r w:rsidRPr="00E86E3A">
        <w:rPr>
          <w:rFonts w:cs="Corbel,Italic"/>
          <w:i/>
          <w:iCs/>
        </w:rPr>
        <w:t>Skills</w:t>
      </w:r>
      <w:proofErr w:type="spellEnd"/>
      <w:r w:rsidRPr="00E86E3A">
        <w:rPr>
          <w:rFonts w:cs="Corbel,Italic"/>
          <w:i/>
          <w:iCs/>
        </w:rPr>
        <w:t xml:space="preserve"> (Competenze per</w:t>
      </w:r>
      <w:r>
        <w:rPr>
          <w:rFonts w:cs="Corbel,Italic"/>
          <w:i/>
          <w:iCs/>
        </w:rPr>
        <w:t xml:space="preserve"> </w:t>
      </w:r>
      <w:r w:rsidRPr="00E86E3A">
        <w:rPr>
          <w:rFonts w:cs="Corbel,Italic"/>
          <w:i/>
          <w:iCs/>
        </w:rPr>
        <w:t xml:space="preserve">il 21mo secolo), promosso dal World </w:t>
      </w:r>
      <w:proofErr w:type="spellStart"/>
      <w:r w:rsidRPr="00E86E3A">
        <w:rPr>
          <w:rFonts w:cs="Corbel,Italic"/>
          <w:i/>
          <w:iCs/>
        </w:rPr>
        <w:t>Economic</w:t>
      </w:r>
      <w:proofErr w:type="spellEnd"/>
      <w:r w:rsidRPr="00E86E3A">
        <w:rPr>
          <w:rFonts w:cs="Corbel,Italic"/>
          <w:i/>
          <w:iCs/>
        </w:rPr>
        <w:t xml:space="preserve"> Forum” (pag. 72, PNSD)</w:t>
      </w:r>
      <w:r w:rsidRPr="00E86E3A">
        <w:rPr>
          <w:rFonts w:cs="Corbel"/>
        </w:rPr>
        <w:t>.</w:t>
      </w:r>
    </w:p>
    <w:p w:rsidR="00E86E3A" w:rsidRPr="00E86E3A" w:rsidRDefault="00E86E3A" w:rsidP="00E86E3A">
      <w:pPr>
        <w:autoSpaceDE w:val="0"/>
        <w:autoSpaceDN w:val="0"/>
        <w:adjustRightInd w:val="0"/>
        <w:spacing w:afterLines="60" w:after="144" w:line="240" w:lineRule="auto"/>
        <w:rPr>
          <w:rFonts w:cs="Corbel"/>
        </w:rPr>
      </w:pPr>
      <w:r w:rsidRPr="00E86E3A">
        <w:rPr>
          <w:rFonts w:cs="Corbel"/>
        </w:rPr>
        <w:t>In questa visione, il digitale è:</w:t>
      </w:r>
    </w:p>
    <w:p w:rsidR="00E86E3A" w:rsidRPr="00E86E3A" w:rsidRDefault="00E86E3A" w:rsidP="00E86E3A">
      <w:pPr>
        <w:pStyle w:val="Paragrafoelenco"/>
        <w:numPr>
          <w:ilvl w:val="0"/>
          <w:numId w:val="2"/>
        </w:numPr>
        <w:autoSpaceDE w:val="0"/>
        <w:autoSpaceDN w:val="0"/>
        <w:adjustRightInd w:val="0"/>
        <w:spacing w:afterLines="60" w:after="144" w:line="240" w:lineRule="auto"/>
        <w:rPr>
          <w:rFonts w:cs="Corbel"/>
        </w:rPr>
      </w:pPr>
      <w:r w:rsidRPr="00E86E3A">
        <w:rPr>
          <w:rFonts w:cs="Corbel"/>
        </w:rPr>
        <w:t>“</w:t>
      </w:r>
      <w:proofErr w:type="gramStart"/>
      <w:r w:rsidRPr="00E86E3A">
        <w:rPr>
          <w:rFonts w:cs="Corbel"/>
        </w:rPr>
        <w:t>nastro</w:t>
      </w:r>
      <w:proofErr w:type="gramEnd"/>
      <w:r w:rsidRPr="00E86E3A">
        <w:rPr>
          <w:rFonts w:cs="Corbel"/>
        </w:rPr>
        <w:t xml:space="preserve"> trasportatore”, media caratterizzato e non neutrale attraverso cui sviluppare e praticare competenze e attitudini, all’interno di e attraverso ogni disciplina (pag. 72</w:t>
      </w:r>
      <w:r w:rsidRPr="00E86E3A">
        <w:rPr>
          <w:rFonts w:cs="Corbel,Italic"/>
          <w:i/>
          <w:iCs/>
        </w:rPr>
        <w:t>, PNSD</w:t>
      </w:r>
      <w:r w:rsidRPr="00E86E3A">
        <w:rPr>
          <w:rFonts w:cs="Corbel"/>
        </w:rPr>
        <w:t>);</w:t>
      </w:r>
    </w:p>
    <w:p w:rsidR="00E86E3A" w:rsidRPr="00E86E3A" w:rsidRDefault="00E86E3A" w:rsidP="00E86E3A">
      <w:pPr>
        <w:pStyle w:val="Paragrafoelenco"/>
        <w:numPr>
          <w:ilvl w:val="0"/>
          <w:numId w:val="2"/>
        </w:numPr>
        <w:autoSpaceDE w:val="0"/>
        <w:autoSpaceDN w:val="0"/>
        <w:adjustRightInd w:val="0"/>
        <w:spacing w:afterLines="60" w:after="144" w:line="240" w:lineRule="auto"/>
        <w:rPr>
          <w:rFonts w:cs="Corbel"/>
        </w:rPr>
      </w:pPr>
      <w:r w:rsidRPr="00E86E3A">
        <w:rPr>
          <w:rFonts w:cs="Corbel"/>
        </w:rPr>
        <w:t>“</w:t>
      </w:r>
      <w:proofErr w:type="gramStart"/>
      <w:r w:rsidRPr="00E86E3A">
        <w:rPr>
          <w:rFonts w:cs="Corbel"/>
        </w:rPr>
        <w:t>alfabeto</w:t>
      </w:r>
      <w:proofErr w:type="gramEnd"/>
      <w:r w:rsidRPr="00E86E3A">
        <w:rPr>
          <w:rFonts w:cs="Corbel"/>
        </w:rPr>
        <w:t>” del nostro tempo – al cui centro risiede il pensiero computazionale – una nuova sintassi, tra pensiero logico e creativo, che forma il linguaggio che parliamo con sempre più frequenza nel nostro tempo (pag. 73</w:t>
      </w:r>
      <w:r w:rsidRPr="00E86E3A">
        <w:rPr>
          <w:rFonts w:cs="Corbel,Italic"/>
          <w:i/>
          <w:iCs/>
        </w:rPr>
        <w:t>, PNSD</w:t>
      </w:r>
      <w:r w:rsidRPr="00E86E3A">
        <w:rPr>
          <w:rFonts w:cs="Corbel"/>
        </w:rPr>
        <w:t>);</w:t>
      </w:r>
    </w:p>
    <w:p w:rsidR="00E86E3A" w:rsidRPr="00E86E3A" w:rsidRDefault="00E86E3A" w:rsidP="00E86E3A">
      <w:pPr>
        <w:pStyle w:val="Paragrafoelenco"/>
        <w:numPr>
          <w:ilvl w:val="0"/>
          <w:numId w:val="2"/>
        </w:numPr>
        <w:autoSpaceDE w:val="0"/>
        <w:autoSpaceDN w:val="0"/>
        <w:adjustRightInd w:val="0"/>
        <w:spacing w:afterLines="60" w:after="144" w:line="240" w:lineRule="auto"/>
        <w:rPr>
          <w:rFonts w:cs="Corbel"/>
        </w:rPr>
      </w:pPr>
      <w:proofErr w:type="gramStart"/>
      <w:r w:rsidRPr="00E86E3A">
        <w:rPr>
          <w:rFonts w:cs="Corbel"/>
        </w:rPr>
        <w:t>agente</w:t>
      </w:r>
      <w:proofErr w:type="gramEnd"/>
      <w:r w:rsidRPr="00E86E3A">
        <w:rPr>
          <w:rFonts w:cs="Corbel"/>
        </w:rPr>
        <w:t xml:space="preserve"> attivo dei grandi cambiamenti sociali, economici e comportamentali, di economia, diritto e architettura dell’informazione, e che si traduce in competenze di “cittadinanza digitale” essenziale per affrontare il nostro tempo (pag. 73</w:t>
      </w:r>
      <w:r w:rsidRPr="00E86E3A">
        <w:rPr>
          <w:rFonts w:cs="Corbel,Italic"/>
          <w:i/>
          <w:iCs/>
        </w:rPr>
        <w:t>, PNSD</w:t>
      </w:r>
      <w:r w:rsidRPr="00E86E3A">
        <w:rPr>
          <w:rFonts w:cs="Corbel"/>
        </w:rPr>
        <w:t>).</w:t>
      </w:r>
    </w:p>
    <w:p w:rsidR="00E86E3A" w:rsidRPr="00E86E3A" w:rsidRDefault="00E86E3A" w:rsidP="00E86E3A">
      <w:pPr>
        <w:autoSpaceDE w:val="0"/>
        <w:autoSpaceDN w:val="0"/>
        <w:adjustRightInd w:val="0"/>
        <w:spacing w:afterLines="60" w:after="144" w:line="240" w:lineRule="auto"/>
        <w:rPr>
          <w:rFonts w:cs="Corbel"/>
        </w:rPr>
      </w:pPr>
      <w:r w:rsidRPr="00E86E3A">
        <w:rPr>
          <w:rFonts w:cs="Corbel"/>
        </w:rPr>
        <w:t xml:space="preserve">Gli interventi formativi sono finalizzati in particolare al sostegno dei percorsi per lo </w:t>
      </w:r>
      <w:r w:rsidRPr="00E86E3A">
        <w:rPr>
          <w:rFonts w:cs="Corbel,Bold"/>
          <w:b/>
          <w:bCs/>
        </w:rPr>
        <w:t>sviluppo del</w:t>
      </w:r>
      <w:r>
        <w:rPr>
          <w:rFonts w:cs="Corbel,Bold"/>
          <w:b/>
          <w:bCs/>
        </w:rPr>
        <w:t xml:space="preserve"> </w:t>
      </w:r>
      <w:r w:rsidRPr="00E86E3A">
        <w:rPr>
          <w:rFonts w:cs="Corbel,Bold"/>
          <w:b/>
          <w:bCs/>
        </w:rPr>
        <w:t xml:space="preserve">pensiero computazionale e della creatività digitale </w:t>
      </w:r>
      <w:r w:rsidRPr="00E86E3A">
        <w:rPr>
          <w:rFonts w:cs="Corbel"/>
        </w:rPr>
        <w:t xml:space="preserve">e per lo </w:t>
      </w:r>
      <w:r w:rsidRPr="00E86E3A">
        <w:rPr>
          <w:rFonts w:cs="Corbel,Bold"/>
          <w:b/>
          <w:bCs/>
        </w:rPr>
        <w:t>sviluppo delle competenze di “cittadinanza</w:t>
      </w:r>
      <w:r>
        <w:rPr>
          <w:rFonts w:cs="Corbel,Bold"/>
          <w:b/>
          <w:bCs/>
        </w:rPr>
        <w:t xml:space="preserve"> </w:t>
      </w:r>
      <w:r w:rsidRPr="00E86E3A">
        <w:rPr>
          <w:rFonts w:cs="Corbel,Bold"/>
          <w:b/>
          <w:bCs/>
        </w:rPr>
        <w:t>digitale”</w:t>
      </w:r>
      <w:r w:rsidRPr="00E86E3A">
        <w:rPr>
          <w:rFonts w:cs="Corbel"/>
        </w:rPr>
        <w:t>.</w:t>
      </w:r>
    </w:p>
    <w:p w:rsidR="00E86E3A" w:rsidRPr="00E86E3A" w:rsidRDefault="00E86E3A" w:rsidP="00E86E3A">
      <w:pPr>
        <w:autoSpaceDE w:val="0"/>
        <w:autoSpaceDN w:val="0"/>
        <w:adjustRightInd w:val="0"/>
        <w:spacing w:afterLines="60" w:after="144" w:line="240" w:lineRule="auto"/>
        <w:rPr>
          <w:color w:val="70AD47" w:themeColor="accent6"/>
        </w:rPr>
      </w:pPr>
      <w:r w:rsidRPr="00E86E3A">
        <w:rPr>
          <w:rFonts w:cs="Corbel"/>
        </w:rPr>
        <w:t>Il presente Avviso è emanato nell’ambito dell’Asse I del Programma Operativo Nazionale “Per la</w:t>
      </w:r>
      <w:r>
        <w:rPr>
          <w:rFonts w:cs="Corbel"/>
        </w:rPr>
        <w:t xml:space="preserve"> </w:t>
      </w:r>
      <w:r w:rsidRPr="00E86E3A">
        <w:rPr>
          <w:rFonts w:cs="Corbel"/>
        </w:rPr>
        <w:t>Scuola” 2014-2020, come illustrato nel seguente schema.</w:t>
      </w:r>
    </w:p>
    <w:p w:rsidR="00D447B2" w:rsidRPr="001700D0" w:rsidRDefault="00D447B2" w:rsidP="00D447B2">
      <w:pPr>
        <w:rPr>
          <w:b/>
          <w:color w:val="2E74B5" w:themeColor="accent1" w:themeShade="BF"/>
          <w:sz w:val="32"/>
          <w:szCs w:val="32"/>
          <w:u w:val="single"/>
        </w:rPr>
      </w:pPr>
      <w:r w:rsidRPr="001700D0">
        <w:rPr>
          <w:b/>
          <w:color w:val="2E74B5" w:themeColor="accent1" w:themeShade="BF"/>
          <w:sz w:val="32"/>
          <w:szCs w:val="32"/>
          <w:u w:val="single"/>
        </w:rPr>
        <w:t>Destinatari dell’avviso</w:t>
      </w:r>
    </w:p>
    <w:p w:rsidR="001700D0" w:rsidRDefault="001700D0" w:rsidP="001700D0">
      <w:pPr>
        <w:autoSpaceDE w:val="0"/>
        <w:autoSpaceDN w:val="0"/>
        <w:adjustRightInd w:val="0"/>
        <w:spacing w:afterLines="60" w:after="144" w:line="240" w:lineRule="auto"/>
        <w:ind w:left="284" w:hanging="284"/>
        <w:rPr>
          <w:rFonts w:ascii="Corbel" w:hAnsi="Corbel" w:cs="Corbel"/>
        </w:rPr>
      </w:pPr>
      <w:r>
        <w:rPr>
          <w:rFonts w:ascii="Corbel" w:hAnsi="Corbel" w:cs="Corbel"/>
        </w:rPr>
        <w:t>1. Sono ammesse a partecipare al presente Avviso per la realizzazione di percorsi per lo sviluppo del pensiero computazionale, della creatività digitale e delle competenze di “cittadinanza digitale”:</w:t>
      </w:r>
    </w:p>
    <w:p w:rsidR="001700D0" w:rsidRDefault="001700D0" w:rsidP="001700D0">
      <w:pPr>
        <w:autoSpaceDE w:val="0"/>
        <w:autoSpaceDN w:val="0"/>
        <w:adjustRightInd w:val="0"/>
        <w:spacing w:afterLines="60" w:after="144" w:line="240" w:lineRule="auto"/>
        <w:ind w:left="284" w:hanging="284"/>
        <w:rPr>
          <w:rFonts w:ascii="Corbel" w:hAnsi="Corbel" w:cs="Corbel"/>
        </w:rPr>
      </w:pPr>
      <w:r>
        <w:rPr>
          <w:rFonts w:ascii="Corbel,Italic" w:hAnsi="Corbel,Italic" w:cs="Corbel,Italic"/>
          <w:i/>
          <w:iCs/>
        </w:rPr>
        <w:lastRenderedPageBreak/>
        <w:t xml:space="preserve">a) </w:t>
      </w:r>
      <w:r>
        <w:rPr>
          <w:rFonts w:ascii="Corbel" w:hAnsi="Corbel" w:cs="Corbel"/>
        </w:rPr>
        <w:t>le istituzioni scolastiche statali del primo ciclo di istruzione (scuole primarie e secondarie di primo grado);</w:t>
      </w:r>
    </w:p>
    <w:p w:rsidR="001700D0" w:rsidRDefault="001700D0" w:rsidP="001700D0">
      <w:pPr>
        <w:autoSpaceDE w:val="0"/>
        <w:autoSpaceDN w:val="0"/>
        <w:adjustRightInd w:val="0"/>
        <w:spacing w:afterLines="60" w:after="144" w:line="240" w:lineRule="auto"/>
        <w:rPr>
          <w:rFonts w:ascii="Corbel" w:hAnsi="Corbel" w:cs="Corbel"/>
        </w:rPr>
      </w:pPr>
      <w:r>
        <w:rPr>
          <w:rFonts w:ascii="Corbel,Italic" w:hAnsi="Corbel,Italic" w:cs="Corbel,Italic"/>
          <w:i/>
          <w:iCs/>
        </w:rPr>
        <w:t xml:space="preserve">b) </w:t>
      </w:r>
      <w:r>
        <w:rPr>
          <w:rFonts w:ascii="Corbel" w:hAnsi="Corbel" w:cs="Corbel"/>
        </w:rPr>
        <w:t>le istituzioni scolastiche statali del secondo ciclo di istruzione (scuole secondarie di secondo grado).</w:t>
      </w:r>
    </w:p>
    <w:p w:rsidR="001700D0" w:rsidRDefault="001700D0" w:rsidP="001700D0">
      <w:pPr>
        <w:autoSpaceDE w:val="0"/>
        <w:autoSpaceDN w:val="0"/>
        <w:adjustRightInd w:val="0"/>
        <w:spacing w:afterLines="60" w:after="144" w:line="240" w:lineRule="auto"/>
        <w:ind w:left="284" w:hanging="284"/>
        <w:rPr>
          <w:rFonts w:ascii="Corbel" w:hAnsi="Corbel" w:cs="Corbel"/>
        </w:rPr>
      </w:pPr>
      <w:r>
        <w:rPr>
          <w:rFonts w:ascii="Corbel" w:hAnsi="Corbel" w:cs="Corbel"/>
        </w:rPr>
        <w:t>2. Possono partecipare le istituzioni scolastiche di cui al comma 1 appartenenti a tutte le Regioni, nonché quelle della Provincia autonoma di Trento, in virtù dell’Accordo sottoscritto in data 16 febbraio 2017.</w:t>
      </w:r>
    </w:p>
    <w:p w:rsidR="001700D0" w:rsidRDefault="001700D0" w:rsidP="001700D0">
      <w:pPr>
        <w:autoSpaceDE w:val="0"/>
        <w:autoSpaceDN w:val="0"/>
        <w:adjustRightInd w:val="0"/>
        <w:spacing w:afterLines="60" w:after="144" w:line="240" w:lineRule="auto"/>
        <w:ind w:left="284" w:hanging="284"/>
        <w:rPr>
          <w:rFonts w:ascii="Corbel" w:hAnsi="Corbel" w:cs="Corbel"/>
        </w:rPr>
      </w:pPr>
      <w:r>
        <w:rPr>
          <w:rFonts w:ascii="Corbel" w:hAnsi="Corbel" w:cs="Corbel"/>
        </w:rPr>
        <w:t>3. Per quanto riguarda le istituzioni scolastiche della Regione Valle d’Aosta e della Provincia Autonoma di Bolzano si precisa che le stesse, a seguito di accordi da sottoscrivere con il Ministero dell’istruzione, dell’università e della ricerca, saranno destinatarie di una specifica procedura.</w:t>
      </w:r>
    </w:p>
    <w:p w:rsidR="001700D0" w:rsidRDefault="001700D0" w:rsidP="001700D0">
      <w:pPr>
        <w:autoSpaceDE w:val="0"/>
        <w:autoSpaceDN w:val="0"/>
        <w:adjustRightInd w:val="0"/>
        <w:spacing w:afterLines="60" w:after="144" w:line="240" w:lineRule="auto"/>
        <w:ind w:left="284" w:hanging="284"/>
        <w:rPr>
          <w:rFonts w:ascii="Corbel" w:hAnsi="Corbel" w:cs="Corbel"/>
        </w:rPr>
      </w:pPr>
      <w:r>
        <w:rPr>
          <w:rFonts w:ascii="Corbel" w:hAnsi="Corbel" w:cs="Corbel"/>
        </w:rPr>
        <w:t>4. Gli istituti omnicomprensivi, nonché i convitti nazionali, possono presentare due diversi progetti, uno per il primo ciclo e uno per il secondo ciclo di istruzione.</w:t>
      </w:r>
    </w:p>
    <w:p w:rsidR="001700D0" w:rsidRDefault="001700D0" w:rsidP="001700D0">
      <w:pPr>
        <w:autoSpaceDE w:val="0"/>
        <w:autoSpaceDN w:val="0"/>
        <w:adjustRightInd w:val="0"/>
        <w:spacing w:afterLines="60" w:after="144" w:line="240" w:lineRule="auto"/>
        <w:ind w:left="284" w:hanging="284"/>
        <w:rPr>
          <w:rFonts w:ascii="Corbel" w:hAnsi="Corbel" w:cs="Corbel"/>
        </w:rPr>
      </w:pPr>
      <w:r>
        <w:rPr>
          <w:rFonts w:ascii="Corbel" w:hAnsi="Corbel" w:cs="Corbel"/>
        </w:rPr>
        <w:t>5. Si richiama l’attenzione sull’articolo 1, comma 313, della legge 11 dicembre 2016, n. 232, in forza del quale, nelle more della modifica dell’Accordo di Partenariato, sono state accantonate specifiche risorse per le istituzioni scolastiche paritarie di cui alla legge 10 marzo 2000, n. 62.</w:t>
      </w:r>
    </w:p>
    <w:p w:rsidR="001700D0" w:rsidRDefault="001700D0" w:rsidP="001700D0">
      <w:pPr>
        <w:autoSpaceDE w:val="0"/>
        <w:autoSpaceDN w:val="0"/>
        <w:adjustRightInd w:val="0"/>
        <w:spacing w:afterLines="60" w:after="144" w:line="240" w:lineRule="auto"/>
        <w:ind w:left="284" w:hanging="284"/>
        <w:rPr>
          <w:rFonts w:ascii="Corbel" w:hAnsi="Corbel" w:cs="Corbel"/>
        </w:rPr>
      </w:pPr>
      <w:r>
        <w:rPr>
          <w:rFonts w:ascii="Corbel" w:hAnsi="Corbel" w:cs="Corbel"/>
        </w:rPr>
        <w:t>6. Il progetto è presentato dall'Istituto sede di direttivo (codice meccanografico identificativo) e riguarda tutti gli eventuali indirizzi da cui lo stesso è costituito.</w:t>
      </w:r>
    </w:p>
    <w:p w:rsidR="00E86E3A" w:rsidRDefault="001700D0" w:rsidP="001700D0">
      <w:pPr>
        <w:autoSpaceDE w:val="0"/>
        <w:autoSpaceDN w:val="0"/>
        <w:adjustRightInd w:val="0"/>
        <w:spacing w:afterLines="60" w:after="144" w:line="240" w:lineRule="auto"/>
        <w:ind w:left="284" w:hanging="284"/>
        <w:rPr>
          <w:color w:val="70AD47" w:themeColor="accent6"/>
        </w:rPr>
      </w:pPr>
      <w:r>
        <w:rPr>
          <w:rFonts w:ascii="Corbel" w:hAnsi="Corbel" w:cs="Corbel"/>
        </w:rPr>
        <w:t>7. Questo avviso non prevede interventi a favore dei Centri Provinciali per l'Istruzione degli Adulti (CPIA), per i quali è già stato emanato uno specifico avviso.</w:t>
      </w:r>
    </w:p>
    <w:p w:rsidR="001700D0" w:rsidRPr="001700D0" w:rsidRDefault="001700D0" w:rsidP="001700D0">
      <w:pPr>
        <w:rPr>
          <w:b/>
          <w:color w:val="2E74B5" w:themeColor="accent1" w:themeShade="BF"/>
          <w:sz w:val="32"/>
          <w:szCs w:val="32"/>
          <w:u w:val="single"/>
        </w:rPr>
      </w:pPr>
      <w:r>
        <w:rPr>
          <w:b/>
          <w:color w:val="2E74B5" w:themeColor="accent1" w:themeShade="BF"/>
          <w:sz w:val="32"/>
          <w:szCs w:val="32"/>
          <w:u w:val="single"/>
        </w:rPr>
        <w:t>Coinvolgimento altri soggetti</w:t>
      </w:r>
    </w:p>
    <w:p w:rsidR="001700D0" w:rsidRDefault="001700D0" w:rsidP="001700D0">
      <w:pPr>
        <w:autoSpaceDE w:val="0"/>
        <w:autoSpaceDN w:val="0"/>
        <w:adjustRightInd w:val="0"/>
        <w:spacing w:afterLines="60" w:after="144" w:line="240" w:lineRule="auto"/>
        <w:ind w:left="284" w:hanging="284"/>
        <w:rPr>
          <w:rFonts w:ascii="Corbel" w:hAnsi="Corbel" w:cs="Corbel"/>
        </w:rPr>
      </w:pPr>
      <w:r>
        <w:rPr>
          <w:rFonts w:ascii="Corbel" w:hAnsi="Corbel" w:cs="Corbel"/>
        </w:rPr>
        <w:t>1. È ammesso il coinvolgimento del territorio, in termini, a titolo esemplificativo, di partenariati e collaborazioni con amministrazioni centrali e locali, associazioni, fondazioni, enti del terzo settore, università, centri di ricerca, operatori qualificati, reti già presenti a livello locale.</w:t>
      </w:r>
    </w:p>
    <w:p w:rsidR="00E86E3A" w:rsidRDefault="001700D0" w:rsidP="001700D0">
      <w:pPr>
        <w:autoSpaceDE w:val="0"/>
        <w:autoSpaceDN w:val="0"/>
        <w:adjustRightInd w:val="0"/>
        <w:spacing w:afterLines="60" w:after="144" w:line="240" w:lineRule="auto"/>
        <w:ind w:left="284" w:hanging="284"/>
        <w:rPr>
          <w:rFonts w:ascii="Corbel" w:hAnsi="Corbel" w:cs="Corbel"/>
        </w:rPr>
      </w:pPr>
      <w:r>
        <w:rPr>
          <w:rFonts w:ascii="Corbel" w:hAnsi="Corbel" w:cs="Corbel"/>
        </w:rPr>
        <w:t>2. L’ individuazione dei soggetti di cui al comma 1 avviene nel rispetto dei principi di parità di trattamento, non discriminazione, libera concorrenza, trasparenza e proporzionalità previsti dalla normativa in materia di contratti pubblici.</w:t>
      </w:r>
    </w:p>
    <w:p w:rsidR="003C536B" w:rsidRPr="001700D0" w:rsidRDefault="003C536B" w:rsidP="003C536B">
      <w:pPr>
        <w:rPr>
          <w:b/>
          <w:color w:val="2E74B5" w:themeColor="accent1" w:themeShade="BF"/>
          <w:sz w:val="32"/>
          <w:szCs w:val="32"/>
          <w:u w:val="single"/>
        </w:rPr>
      </w:pPr>
      <w:r>
        <w:rPr>
          <w:b/>
          <w:color w:val="2E74B5" w:themeColor="accent1" w:themeShade="BF"/>
          <w:sz w:val="32"/>
          <w:szCs w:val="32"/>
          <w:u w:val="single"/>
        </w:rPr>
        <w:t>Interventi attivabili</w:t>
      </w:r>
    </w:p>
    <w:p w:rsidR="002E417E" w:rsidRDefault="00E818FF" w:rsidP="001700D0">
      <w:pPr>
        <w:autoSpaceDE w:val="0"/>
        <w:autoSpaceDN w:val="0"/>
        <w:adjustRightInd w:val="0"/>
        <w:spacing w:afterLines="60" w:after="144" w:line="240" w:lineRule="auto"/>
        <w:ind w:left="284" w:hanging="284"/>
        <w:rPr>
          <w:rFonts w:ascii="Corbel" w:hAnsi="Corbel" w:cs="Corbel"/>
        </w:rPr>
      </w:pPr>
      <w:r>
        <w:rPr>
          <w:rFonts w:ascii="Corbel" w:hAnsi="Corbel" w:cs="Corbel"/>
        </w:rPr>
        <w:t>Il presente Avviso finanzia gli interventi e i moduli riconducibili all’azione 10.2.2.</w:t>
      </w:r>
    </w:p>
    <w:tbl>
      <w:tblPr>
        <w:tblStyle w:val="Grigliatabella"/>
        <w:tblW w:w="0" w:type="auto"/>
        <w:tblInd w:w="284" w:type="dxa"/>
        <w:tblLook w:val="04A0" w:firstRow="1" w:lastRow="0" w:firstColumn="1" w:lastColumn="0" w:noHBand="0" w:noVBand="1"/>
      </w:tblPr>
      <w:tblGrid>
        <w:gridCol w:w="1554"/>
        <w:gridCol w:w="2977"/>
        <w:gridCol w:w="1843"/>
        <w:gridCol w:w="2970"/>
      </w:tblGrid>
      <w:tr w:rsidR="00E818FF" w:rsidTr="00E818FF">
        <w:tc>
          <w:tcPr>
            <w:tcW w:w="1554" w:type="dxa"/>
            <w:vMerge w:val="restart"/>
            <w:shd w:val="clear" w:color="auto" w:fill="2F5496" w:themeFill="accent5" w:themeFillShade="BF"/>
            <w:textDirection w:val="btLr"/>
            <w:vAlign w:val="center"/>
          </w:tcPr>
          <w:p w:rsidR="00E818FF" w:rsidRPr="00E818FF" w:rsidRDefault="00E818FF" w:rsidP="00E818FF">
            <w:pPr>
              <w:autoSpaceDE w:val="0"/>
              <w:autoSpaceDN w:val="0"/>
              <w:adjustRightInd w:val="0"/>
              <w:ind w:left="113" w:right="113"/>
              <w:jc w:val="center"/>
              <w:rPr>
                <w:rFonts w:cs="Corbel"/>
                <w:color w:val="FFFFFF" w:themeColor="background1"/>
              </w:rPr>
            </w:pPr>
            <w:r w:rsidRPr="00E818FF">
              <w:rPr>
                <w:rFonts w:cs="Corbel,Bold"/>
                <w:b/>
                <w:bCs/>
                <w:color w:val="FFFFFF" w:themeColor="background1"/>
              </w:rPr>
              <w:t>10.2 – Miglioramento delle competenze chiave degli allievi</w:t>
            </w:r>
          </w:p>
        </w:tc>
        <w:tc>
          <w:tcPr>
            <w:tcW w:w="2977" w:type="dxa"/>
            <w:shd w:val="clear" w:color="auto" w:fill="2F5496" w:themeFill="accent5" w:themeFillShade="BF"/>
            <w:vAlign w:val="center"/>
          </w:tcPr>
          <w:p w:rsidR="00E818FF" w:rsidRPr="00E818FF" w:rsidRDefault="00E818FF" w:rsidP="00E818FF">
            <w:pPr>
              <w:autoSpaceDE w:val="0"/>
              <w:autoSpaceDN w:val="0"/>
              <w:adjustRightInd w:val="0"/>
              <w:spacing w:afterLines="60" w:after="144"/>
              <w:jc w:val="center"/>
              <w:rPr>
                <w:rFonts w:cs="Corbel"/>
                <w:color w:val="FFFFFF" w:themeColor="background1"/>
              </w:rPr>
            </w:pPr>
            <w:r w:rsidRPr="00E818FF">
              <w:rPr>
                <w:rFonts w:cs="Corbel,Bold"/>
                <w:b/>
                <w:bCs/>
                <w:color w:val="FFFFFF" w:themeColor="background1"/>
              </w:rPr>
              <w:t>Azione posta a bando</w:t>
            </w:r>
          </w:p>
        </w:tc>
        <w:tc>
          <w:tcPr>
            <w:tcW w:w="1843" w:type="dxa"/>
            <w:shd w:val="clear" w:color="auto" w:fill="2F5496" w:themeFill="accent5" w:themeFillShade="BF"/>
            <w:vAlign w:val="center"/>
          </w:tcPr>
          <w:p w:rsidR="00E818FF" w:rsidRPr="00E818FF" w:rsidRDefault="00E818FF" w:rsidP="00E818FF">
            <w:pPr>
              <w:autoSpaceDE w:val="0"/>
              <w:autoSpaceDN w:val="0"/>
              <w:adjustRightInd w:val="0"/>
              <w:spacing w:afterLines="60" w:after="144"/>
              <w:jc w:val="center"/>
              <w:rPr>
                <w:rFonts w:cs="Corbel"/>
                <w:color w:val="FFFFFF" w:themeColor="background1"/>
              </w:rPr>
            </w:pPr>
            <w:r w:rsidRPr="00E818FF">
              <w:rPr>
                <w:rFonts w:cs="Corbel,Bold"/>
                <w:b/>
                <w:bCs/>
                <w:color w:val="FFFFFF" w:themeColor="background1"/>
              </w:rPr>
              <w:t>Sotto-azioni</w:t>
            </w:r>
          </w:p>
        </w:tc>
        <w:tc>
          <w:tcPr>
            <w:tcW w:w="2970" w:type="dxa"/>
            <w:shd w:val="clear" w:color="auto" w:fill="2F5496" w:themeFill="accent5" w:themeFillShade="BF"/>
            <w:vAlign w:val="center"/>
          </w:tcPr>
          <w:p w:rsidR="00E818FF" w:rsidRPr="00E818FF" w:rsidRDefault="00E818FF" w:rsidP="00E818FF">
            <w:pPr>
              <w:autoSpaceDE w:val="0"/>
              <w:autoSpaceDN w:val="0"/>
              <w:adjustRightInd w:val="0"/>
              <w:jc w:val="center"/>
              <w:rPr>
                <w:rFonts w:cs="Corbel,Bold"/>
                <w:b/>
                <w:bCs/>
                <w:color w:val="FFFFFF" w:themeColor="background1"/>
              </w:rPr>
            </w:pPr>
            <w:r w:rsidRPr="00E818FF">
              <w:rPr>
                <w:rFonts w:cs="Corbel,Bold"/>
                <w:b/>
                <w:bCs/>
                <w:color w:val="FFFFFF" w:themeColor="background1"/>
              </w:rPr>
              <w:t>Tipo di intervento</w:t>
            </w:r>
          </w:p>
          <w:p w:rsidR="00E818FF" w:rsidRPr="00E818FF" w:rsidRDefault="00E818FF" w:rsidP="00E818FF">
            <w:pPr>
              <w:autoSpaceDE w:val="0"/>
              <w:autoSpaceDN w:val="0"/>
              <w:adjustRightInd w:val="0"/>
              <w:spacing w:afterLines="60" w:after="144"/>
              <w:jc w:val="center"/>
              <w:rPr>
                <w:rFonts w:cs="Corbel"/>
                <w:color w:val="FFFFFF" w:themeColor="background1"/>
              </w:rPr>
            </w:pPr>
            <w:r w:rsidRPr="00E818FF">
              <w:rPr>
                <w:rFonts w:cs="Corbel,Bold"/>
                <w:b/>
                <w:bCs/>
                <w:color w:val="FFFFFF" w:themeColor="background1"/>
              </w:rPr>
              <w:t>(</w:t>
            </w:r>
            <w:proofErr w:type="gramStart"/>
            <w:r w:rsidRPr="00E818FF">
              <w:rPr>
                <w:rFonts w:cs="Corbel,Bold"/>
                <w:b/>
                <w:bCs/>
                <w:color w:val="FFFFFF" w:themeColor="background1"/>
              </w:rPr>
              <w:t>moduli</w:t>
            </w:r>
            <w:proofErr w:type="gramEnd"/>
            <w:r w:rsidRPr="00E818FF">
              <w:rPr>
                <w:rFonts w:cs="Corbel,Bold"/>
                <w:b/>
                <w:bCs/>
                <w:color w:val="FFFFFF" w:themeColor="background1"/>
              </w:rPr>
              <w:t>)</w:t>
            </w:r>
          </w:p>
        </w:tc>
      </w:tr>
      <w:tr w:rsidR="00E818FF" w:rsidTr="00AF308B">
        <w:trPr>
          <w:trHeight w:val="1684"/>
        </w:trPr>
        <w:tc>
          <w:tcPr>
            <w:tcW w:w="1554" w:type="dxa"/>
            <w:vMerge/>
          </w:tcPr>
          <w:p w:rsidR="00E818FF" w:rsidRDefault="00E818FF" w:rsidP="001700D0">
            <w:pPr>
              <w:autoSpaceDE w:val="0"/>
              <w:autoSpaceDN w:val="0"/>
              <w:adjustRightInd w:val="0"/>
              <w:spacing w:afterLines="60" w:after="144"/>
              <w:rPr>
                <w:rFonts w:ascii="Corbel" w:hAnsi="Corbel" w:cs="Corbel"/>
              </w:rPr>
            </w:pPr>
          </w:p>
        </w:tc>
        <w:tc>
          <w:tcPr>
            <w:tcW w:w="2977" w:type="dxa"/>
            <w:vAlign w:val="center"/>
          </w:tcPr>
          <w:p w:rsidR="00E818FF" w:rsidRDefault="00E818FF" w:rsidP="00E818FF">
            <w:pPr>
              <w:autoSpaceDE w:val="0"/>
              <w:autoSpaceDN w:val="0"/>
              <w:adjustRightInd w:val="0"/>
              <w:jc w:val="center"/>
              <w:rPr>
                <w:rFonts w:ascii="Corbel" w:hAnsi="Corbel" w:cs="Corbel"/>
              </w:rPr>
            </w:pPr>
            <w:r>
              <w:rPr>
                <w:rFonts w:ascii="Corbel" w:hAnsi="Corbel" w:cs="Corbel"/>
              </w:rPr>
              <w:t>Azione 10.2.2</w:t>
            </w:r>
          </w:p>
          <w:p w:rsidR="00E818FF" w:rsidRDefault="00E818FF" w:rsidP="00E818FF">
            <w:pPr>
              <w:autoSpaceDE w:val="0"/>
              <w:autoSpaceDN w:val="0"/>
              <w:adjustRightInd w:val="0"/>
              <w:jc w:val="center"/>
              <w:rPr>
                <w:rFonts w:ascii="Corbel" w:hAnsi="Corbel" w:cs="Corbel"/>
              </w:rPr>
            </w:pPr>
            <w:r>
              <w:rPr>
                <w:rFonts w:ascii="Corbel,Bold" w:hAnsi="Corbel,Bold" w:cs="Corbel,Bold"/>
                <w:b/>
                <w:bCs/>
              </w:rPr>
              <w:t>Azioni di integrazione e potenziamento delle aree disciplinari di base</w:t>
            </w:r>
          </w:p>
        </w:tc>
        <w:tc>
          <w:tcPr>
            <w:tcW w:w="1843" w:type="dxa"/>
            <w:vAlign w:val="center"/>
          </w:tcPr>
          <w:p w:rsidR="00E818FF" w:rsidRDefault="00E818FF" w:rsidP="00E818FF">
            <w:pPr>
              <w:autoSpaceDE w:val="0"/>
              <w:autoSpaceDN w:val="0"/>
              <w:adjustRightInd w:val="0"/>
              <w:jc w:val="center"/>
              <w:rPr>
                <w:rFonts w:ascii="Corbel" w:hAnsi="Corbel" w:cs="Corbel"/>
              </w:rPr>
            </w:pPr>
            <w:r>
              <w:rPr>
                <w:rFonts w:ascii="Corbel" w:hAnsi="Corbel" w:cs="Corbel"/>
              </w:rPr>
              <w:t>10.2.2.A</w:t>
            </w:r>
          </w:p>
          <w:p w:rsidR="00E818FF" w:rsidRDefault="00E818FF" w:rsidP="00E818FF">
            <w:pPr>
              <w:autoSpaceDE w:val="0"/>
              <w:autoSpaceDN w:val="0"/>
              <w:adjustRightInd w:val="0"/>
              <w:spacing w:afterLines="60" w:after="144"/>
              <w:jc w:val="center"/>
              <w:rPr>
                <w:rFonts w:ascii="Corbel" w:hAnsi="Corbel" w:cs="Corbel"/>
              </w:rPr>
            </w:pPr>
            <w:r>
              <w:rPr>
                <w:rFonts w:ascii="Corbel,Bold" w:hAnsi="Corbel,Bold" w:cs="Corbel,Bold"/>
                <w:b/>
                <w:bCs/>
              </w:rPr>
              <w:t>Competenze di base</w:t>
            </w:r>
          </w:p>
        </w:tc>
        <w:tc>
          <w:tcPr>
            <w:tcW w:w="2970" w:type="dxa"/>
            <w:vAlign w:val="center"/>
          </w:tcPr>
          <w:p w:rsidR="00E818FF" w:rsidRDefault="00E818FF" w:rsidP="00AF308B">
            <w:pPr>
              <w:autoSpaceDE w:val="0"/>
              <w:autoSpaceDN w:val="0"/>
              <w:adjustRightInd w:val="0"/>
              <w:ind w:left="175" w:hanging="175"/>
              <w:rPr>
                <w:rFonts w:ascii="Corbel" w:hAnsi="Corbel" w:cs="Corbel"/>
              </w:rPr>
            </w:pPr>
            <w:r>
              <w:rPr>
                <w:rFonts w:ascii="Corbel" w:hAnsi="Corbel" w:cs="Corbel"/>
              </w:rPr>
              <w:t>1. Sviluppo del pensiero computazionale e della creatività digitale</w:t>
            </w:r>
          </w:p>
          <w:p w:rsidR="00E818FF" w:rsidRDefault="00E818FF" w:rsidP="00AF308B">
            <w:pPr>
              <w:autoSpaceDE w:val="0"/>
              <w:autoSpaceDN w:val="0"/>
              <w:adjustRightInd w:val="0"/>
              <w:ind w:left="175" w:hanging="175"/>
              <w:rPr>
                <w:rFonts w:ascii="Corbel" w:hAnsi="Corbel" w:cs="Corbel"/>
              </w:rPr>
            </w:pPr>
            <w:r>
              <w:rPr>
                <w:rFonts w:ascii="Corbel" w:hAnsi="Corbel" w:cs="Corbel"/>
              </w:rPr>
              <w:t>2. Competenze di “cittadinanza digitale”</w:t>
            </w:r>
          </w:p>
        </w:tc>
      </w:tr>
    </w:tbl>
    <w:p w:rsidR="002E417E" w:rsidRDefault="002E417E" w:rsidP="001700D0">
      <w:pPr>
        <w:autoSpaceDE w:val="0"/>
        <w:autoSpaceDN w:val="0"/>
        <w:adjustRightInd w:val="0"/>
        <w:spacing w:afterLines="60" w:after="144" w:line="240" w:lineRule="auto"/>
        <w:ind w:left="284" w:hanging="284"/>
        <w:rPr>
          <w:rFonts w:ascii="Corbel" w:hAnsi="Corbel" w:cs="Corbel"/>
        </w:rPr>
      </w:pPr>
    </w:p>
    <w:p w:rsidR="002E417E" w:rsidRDefault="00E818FF" w:rsidP="00E818FF">
      <w:pPr>
        <w:autoSpaceDE w:val="0"/>
        <w:autoSpaceDN w:val="0"/>
        <w:adjustRightInd w:val="0"/>
        <w:spacing w:after="0" w:line="240" w:lineRule="auto"/>
        <w:rPr>
          <w:rFonts w:ascii="Corbel" w:hAnsi="Corbel" w:cs="Corbel"/>
        </w:rPr>
      </w:pPr>
      <w:r>
        <w:rPr>
          <w:rFonts w:ascii="Corbel" w:hAnsi="Corbel" w:cs="Corbel"/>
        </w:rPr>
        <w:t>Ogni istituzione scolastica in cui sono presenti sedi di Scuola del I Ciclo (scuola primaria e secondaria di primo grado) e del II Ciclo (scuola secondaria di secondo grado) può presentare un Progetto, inserendovi un numero di moduli formativi (</w:t>
      </w:r>
      <w:r>
        <w:rPr>
          <w:rFonts w:ascii="Corbel,Bold" w:hAnsi="Corbel,Bold" w:cs="Corbel,Bold"/>
          <w:b/>
          <w:bCs/>
        </w:rPr>
        <w:t>minimo 2</w:t>
      </w:r>
      <w:r>
        <w:rPr>
          <w:rFonts w:ascii="Corbel" w:hAnsi="Corbel" w:cs="Corbel"/>
        </w:rPr>
        <w:t>) scelti fra quelli indicati nella colonna “Tipo di intervento” della tabella sopra riportata, fino al raggiungimento dell’importo massimo previsto all’art. 8 del presente Avviso.</w:t>
      </w:r>
    </w:p>
    <w:p w:rsidR="00AF308B" w:rsidRDefault="00AF308B" w:rsidP="00E818FF">
      <w:pPr>
        <w:autoSpaceDE w:val="0"/>
        <w:autoSpaceDN w:val="0"/>
        <w:adjustRightInd w:val="0"/>
        <w:spacing w:after="0" w:line="240" w:lineRule="auto"/>
        <w:rPr>
          <w:rFonts w:ascii="Corbel" w:hAnsi="Corbel" w:cs="Corbel"/>
        </w:rPr>
      </w:pPr>
    </w:p>
    <w:p w:rsidR="00AF308B" w:rsidRDefault="00AF308B">
      <w:pPr>
        <w:rPr>
          <w:b/>
          <w:color w:val="2E74B5" w:themeColor="accent1" w:themeShade="BF"/>
          <w:sz w:val="32"/>
          <w:szCs w:val="32"/>
          <w:u w:val="single"/>
        </w:rPr>
      </w:pPr>
      <w:r>
        <w:rPr>
          <w:b/>
          <w:color w:val="2E74B5" w:themeColor="accent1" w:themeShade="BF"/>
          <w:sz w:val="32"/>
          <w:szCs w:val="32"/>
          <w:u w:val="single"/>
        </w:rPr>
        <w:br w:type="page"/>
      </w:r>
    </w:p>
    <w:p w:rsidR="00AF308B" w:rsidRPr="00AF308B" w:rsidRDefault="00AF308B" w:rsidP="00AF308B">
      <w:pPr>
        <w:rPr>
          <w:b/>
          <w:color w:val="2E74B5" w:themeColor="accent1" w:themeShade="BF"/>
          <w:sz w:val="32"/>
          <w:szCs w:val="32"/>
          <w:u w:val="single"/>
        </w:rPr>
      </w:pPr>
      <w:r w:rsidRPr="00AF308B">
        <w:rPr>
          <w:b/>
          <w:color w:val="2E74B5" w:themeColor="accent1" w:themeShade="BF"/>
          <w:sz w:val="32"/>
          <w:szCs w:val="32"/>
          <w:u w:val="single"/>
        </w:rPr>
        <w:lastRenderedPageBreak/>
        <w:t>Articolazione dei moduli</w:t>
      </w:r>
    </w:p>
    <w:p w:rsidR="00AF308B" w:rsidRPr="00AF308B" w:rsidRDefault="00AF308B" w:rsidP="00AF308B">
      <w:pPr>
        <w:autoSpaceDE w:val="0"/>
        <w:autoSpaceDN w:val="0"/>
        <w:adjustRightInd w:val="0"/>
        <w:spacing w:after="60" w:line="240" w:lineRule="auto"/>
        <w:ind w:left="284" w:hanging="284"/>
        <w:rPr>
          <w:rFonts w:cs="Corbel"/>
        </w:rPr>
      </w:pPr>
      <w:r w:rsidRPr="00AF308B">
        <w:rPr>
          <w:rFonts w:cs="Corbel"/>
        </w:rPr>
        <w:t xml:space="preserve">1. Il </w:t>
      </w:r>
      <w:r w:rsidRPr="00AF308B">
        <w:rPr>
          <w:rFonts w:cs="Corbel,Bold"/>
          <w:b/>
          <w:bCs/>
        </w:rPr>
        <w:t xml:space="preserve">progetto </w:t>
      </w:r>
      <w:r w:rsidRPr="00AF308B">
        <w:rPr>
          <w:rFonts w:cs="Corbel"/>
        </w:rPr>
        <w:t>consiste in un insieme di moduli/attività che devono integrare il Piano dell’Offerta</w:t>
      </w:r>
      <w:r>
        <w:rPr>
          <w:rFonts w:cs="Corbel"/>
        </w:rPr>
        <w:t xml:space="preserve"> </w:t>
      </w:r>
      <w:r w:rsidRPr="00AF308B">
        <w:rPr>
          <w:rFonts w:cs="Corbel"/>
        </w:rPr>
        <w:t>Formativa della scuola.</w:t>
      </w:r>
    </w:p>
    <w:p w:rsidR="00AF308B" w:rsidRPr="00AF308B" w:rsidRDefault="00AF308B" w:rsidP="00AF308B">
      <w:pPr>
        <w:autoSpaceDE w:val="0"/>
        <w:autoSpaceDN w:val="0"/>
        <w:adjustRightInd w:val="0"/>
        <w:spacing w:after="60" w:line="240" w:lineRule="auto"/>
        <w:ind w:left="284" w:hanging="284"/>
        <w:rPr>
          <w:rFonts w:cs="Corbel"/>
        </w:rPr>
      </w:pPr>
      <w:r w:rsidRPr="00AF308B">
        <w:rPr>
          <w:rFonts w:cs="Corbel"/>
        </w:rPr>
        <w:t xml:space="preserve">2. I </w:t>
      </w:r>
      <w:r w:rsidRPr="00AF308B">
        <w:rPr>
          <w:rFonts w:cs="Corbel,Bold"/>
          <w:b/>
          <w:bCs/>
        </w:rPr>
        <w:t xml:space="preserve">moduli </w:t>
      </w:r>
      <w:r w:rsidRPr="00AF308B">
        <w:rPr>
          <w:rFonts w:cs="Corbel"/>
        </w:rPr>
        <w:t>rappresentano l’unità minima di progettazione e sono contraddistinti da una specifica</w:t>
      </w:r>
      <w:r>
        <w:rPr>
          <w:rFonts w:cs="Corbel"/>
        </w:rPr>
        <w:t xml:space="preserve"> </w:t>
      </w:r>
      <w:r w:rsidRPr="00AF308B">
        <w:rPr>
          <w:rFonts w:cs="Corbel"/>
        </w:rPr>
        <w:t>configurazione in termini di ambito disciplinare/tematico, durata e figure professionali coinvolte (alcune</w:t>
      </w:r>
      <w:r>
        <w:rPr>
          <w:rFonts w:cs="Corbel"/>
        </w:rPr>
        <w:t xml:space="preserve"> </w:t>
      </w:r>
      <w:r w:rsidRPr="00AF308B">
        <w:rPr>
          <w:rFonts w:cs="Corbel"/>
        </w:rPr>
        <w:t xml:space="preserve">obbligatorie – Esperto e </w:t>
      </w:r>
      <w:r w:rsidRPr="00AF308B">
        <w:rPr>
          <w:rFonts w:cs="Corbel,Italic"/>
          <w:i/>
          <w:iCs/>
        </w:rPr>
        <w:t xml:space="preserve">Tutor </w:t>
      </w:r>
      <w:r w:rsidRPr="00AF308B">
        <w:rPr>
          <w:rFonts w:cs="Corbel"/>
        </w:rPr>
        <w:t>– e altre facoltative). È possibile richiedere uno o più moduli della stessa</w:t>
      </w:r>
      <w:r>
        <w:rPr>
          <w:rFonts w:cs="Corbel"/>
        </w:rPr>
        <w:t xml:space="preserve"> </w:t>
      </w:r>
      <w:r w:rsidRPr="00AF308B">
        <w:rPr>
          <w:rFonts w:cs="Corbel"/>
        </w:rPr>
        <w:t>tipologia per un maggior rafforzamento delle competenze oppure per ampliare la platea dei possibili</w:t>
      </w:r>
      <w:r>
        <w:rPr>
          <w:rFonts w:cs="Corbel"/>
        </w:rPr>
        <w:t xml:space="preserve"> </w:t>
      </w:r>
      <w:r w:rsidRPr="00AF308B">
        <w:rPr>
          <w:rFonts w:cs="Corbel"/>
        </w:rPr>
        <w:t>beneficiari dei percorsi formativi.</w:t>
      </w:r>
    </w:p>
    <w:p w:rsidR="00AF308B" w:rsidRDefault="00AF308B" w:rsidP="00AF308B">
      <w:pPr>
        <w:autoSpaceDE w:val="0"/>
        <w:autoSpaceDN w:val="0"/>
        <w:adjustRightInd w:val="0"/>
        <w:spacing w:after="60" w:line="240" w:lineRule="auto"/>
        <w:rPr>
          <w:rFonts w:cs="Corbel,Bold"/>
          <w:b/>
          <w:bCs/>
        </w:rPr>
      </w:pPr>
      <w:r w:rsidRPr="00AF308B">
        <w:rPr>
          <w:rFonts w:cs="Corbel"/>
        </w:rPr>
        <w:t xml:space="preserve">3. I moduli didattici hanno una </w:t>
      </w:r>
      <w:r w:rsidRPr="00AF308B">
        <w:rPr>
          <w:rFonts w:cs="Corbel,Bold"/>
          <w:b/>
          <w:bCs/>
        </w:rPr>
        <w:t>durata minima di 30 ore.</w:t>
      </w:r>
    </w:p>
    <w:p w:rsidR="00E4576B" w:rsidRPr="00E4576B" w:rsidRDefault="00E4576B" w:rsidP="003A6921">
      <w:pPr>
        <w:spacing w:after="0"/>
        <w:rPr>
          <w:b/>
          <w:color w:val="2E74B5" w:themeColor="accent1" w:themeShade="BF"/>
          <w:sz w:val="32"/>
          <w:szCs w:val="32"/>
          <w:u w:val="single"/>
        </w:rPr>
      </w:pPr>
      <w:r w:rsidRPr="00E4576B">
        <w:rPr>
          <w:b/>
          <w:color w:val="2E74B5" w:themeColor="accent1" w:themeShade="BF"/>
          <w:sz w:val="32"/>
          <w:szCs w:val="32"/>
          <w:u w:val="single"/>
        </w:rPr>
        <w:t>Criteri di valutazione</w:t>
      </w: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17"/>
        <w:gridCol w:w="1411"/>
      </w:tblGrid>
      <w:tr w:rsidR="003A6921" w:rsidRPr="00B4580A" w:rsidTr="00507912">
        <w:tc>
          <w:tcPr>
            <w:tcW w:w="8217" w:type="dxa"/>
            <w:shd w:val="clear" w:color="auto" w:fill="2F5496" w:themeFill="accent5" w:themeFillShade="BF"/>
          </w:tcPr>
          <w:p w:rsidR="003A6921" w:rsidRPr="00B4580A" w:rsidRDefault="003A6921" w:rsidP="00507912">
            <w:pPr>
              <w:autoSpaceDE w:val="0"/>
              <w:autoSpaceDN w:val="0"/>
              <w:adjustRightInd w:val="0"/>
              <w:rPr>
                <w:rFonts w:cs="Corbel,BoldItalic"/>
                <w:b/>
                <w:bCs/>
                <w:i/>
                <w:iCs/>
                <w:color w:val="FFFFFF" w:themeColor="background1"/>
                <w:sz w:val="24"/>
              </w:rPr>
            </w:pPr>
            <w:r w:rsidRPr="00B4580A">
              <w:rPr>
                <w:rFonts w:cs="Corbel,BoldItalic"/>
                <w:b/>
                <w:bCs/>
                <w:i/>
                <w:iCs/>
                <w:color w:val="FFFFFF" w:themeColor="background1"/>
                <w:sz w:val="24"/>
              </w:rPr>
              <w:t>CRITERI</w:t>
            </w:r>
          </w:p>
        </w:tc>
        <w:tc>
          <w:tcPr>
            <w:tcW w:w="1411" w:type="dxa"/>
            <w:shd w:val="clear" w:color="auto" w:fill="2F5496" w:themeFill="accent5" w:themeFillShade="BF"/>
          </w:tcPr>
          <w:p w:rsidR="003A6921" w:rsidRPr="00B4580A" w:rsidRDefault="003A6921" w:rsidP="00507912">
            <w:pPr>
              <w:autoSpaceDE w:val="0"/>
              <w:autoSpaceDN w:val="0"/>
              <w:adjustRightInd w:val="0"/>
              <w:jc w:val="center"/>
              <w:rPr>
                <w:rFonts w:cs="Corbel,BoldItalic"/>
                <w:b/>
                <w:bCs/>
                <w:i/>
                <w:iCs/>
                <w:color w:val="FFFFFF" w:themeColor="background1"/>
                <w:sz w:val="24"/>
              </w:rPr>
            </w:pPr>
            <w:r w:rsidRPr="00B4580A">
              <w:rPr>
                <w:rFonts w:cs="Corbel,BoldItalic"/>
                <w:b/>
                <w:bCs/>
                <w:i/>
                <w:iCs/>
                <w:color w:val="FFFFFF" w:themeColor="background1"/>
                <w:sz w:val="24"/>
              </w:rPr>
              <w:t>Punteggio</w:t>
            </w:r>
          </w:p>
        </w:tc>
      </w:tr>
      <w:tr w:rsidR="003A6921" w:rsidRPr="00B4580A" w:rsidTr="00507912">
        <w:tc>
          <w:tcPr>
            <w:tcW w:w="8217" w:type="dxa"/>
            <w:shd w:val="clear" w:color="auto" w:fill="ACB9CA" w:themeFill="text2" w:themeFillTint="66"/>
          </w:tcPr>
          <w:p w:rsidR="003A6921" w:rsidRPr="00B4580A" w:rsidRDefault="003A6921" w:rsidP="00507912">
            <w:pPr>
              <w:rPr>
                <w:rFonts w:ascii="Corbel,BoldItalic" w:hAnsi="Corbel,BoldItalic" w:cs="Corbel,BoldItalic"/>
                <w:b/>
                <w:bCs/>
                <w:i/>
                <w:iCs/>
              </w:rPr>
            </w:pPr>
            <w:r w:rsidRPr="00B4580A">
              <w:rPr>
                <w:rFonts w:ascii="Corbel,BoldItalic" w:hAnsi="Corbel,BoldItalic" w:cs="Corbel,BoldItalic"/>
                <w:b/>
                <w:bCs/>
                <w:i/>
                <w:iCs/>
              </w:rPr>
              <w:t>A – CARATTERISTICHE DI CONTESTO</w:t>
            </w:r>
          </w:p>
        </w:tc>
        <w:tc>
          <w:tcPr>
            <w:tcW w:w="1411" w:type="dxa"/>
            <w:shd w:val="clear" w:color="auto" w:fill="ACB9CA" w:themeFill="text2" w:themeFillTint="66"/>
          </w:tcPr>
          <w:p w:rsidR="003A6921" w:rsidRPr="00B4580A" w:rsidRDefault="003A6921" w:rsidP="00507912">
            <w:pPr>
              <w:rPr>
                <w:rFonts w:ascii="Corbel,BoldItalic" w:hAnsi="Corbel,BoldItalic" w:cs="Corbel,BoldItalic"/>
                <w:b/>
                <w:bCs/>
                <w:i/>
                <w:iCs/>
              </w:rPr>
            </w:pPr>
          </w:p>
        </w:tc>
      </w:tr>
      <w:tr w:rsidR="003A6921" w:rsidRPr="00B4580A" w:rsidTr="00507912">
        <w:tc>
          <w:tcPr>
            <w:tcW w:w="8217" w:type="dxa"/>
            <w:shd w:val="clear" w:color="auto" w:fill="F9FBFD"/>
          </w:tcPr>
          <w:p w:rsidR="003A6921" w:rsidRPr="00B4580A" w:rsidRDefault="003A6921" w:rsidP="00507912">
            <w:pPr>
              <w:autoSpaceDE w:val="0"/>
              <w:autoSpaceDN w:val="0"/>
              <w:adjustRightInd w:val="0"/>
              <w:rPr>
                <w:rFonts w:ascii="Corbel,Italic" w:hAnsi="Corbel,Italic" w:cs="Corbel,Italic"/>
                <w:i/>
                <w:iCs/>
                <w:color w:val="000000"/>
              </w:rPr>
            </w:pPr>
            <w:r w:rsidRPr="00B4580A">
              <w:rPr>
                <w:rFonts w:ascii="Corbel,Italic" w:hAnsi="Corbel,Italic" w:cs="Corbel,Italic"/>
                <w:i/>
                <w:iCs/>
                <w:color w:val="000000"/>
              </w:rPr>
              <w:t>A.1) livello di disagio negli apprendimenti sulla base dei dati delle rilevazioni integrative condotte dall’INVALSI</w:t>
            </w:r>
          </w:p>
        </w:tc>
        <w:tc>
          <w:tcPr>
            <w:tcW w:w="1411" w:type="dxa"/>
            <w:shd w:val="clear" w:color="auto" w:fill="F9FBFD"/>
          </w:tcPr>
          <w:p w:rsidR="003A6921" w:rsidRPr="00B4580A" w:rsidRDefault="003A6921" w:rsidP="00507912">
            <w:pPr>
              <w:autoSpaceDE w:val="0"/>
              <w:autoSpaceDN w:val="0"/>
              <w:adjustRightInd w:val="0"/>
              <w:jc w:val="center"/>
              <w:rPr>
                <w:rFonts w:ascii="Corbel" w:hAnsi="Corbel" w:cs="Corbel"/>
                <w:color w:val="000000"/>
              </w:rPr>
            </w:pPr>
            <w:r w:rsidRPr="00B4580A">
              <w:rPr>
                <w:rFonts w:ascii="Corbel" w:hAnsi="Corbel" w:cs="Corbel"/>
                <w:color w:val="000000"/>
              </w:rPr>
              <w:t>9</w:t>
            </w:r>
          </w:p>
        </w:tc>
      </w:tr>
      <w:tr w:rsidR="003A6921" w:rsidRPr="00B4580A" w:rsidTr="00507912">
        <w:tc>
          <w:tcPr>
            <w:tcW w:w="8217" w:type="dxa"/>
            <w:shd w:val="clear" w:color="auto" w:fill="F9FBFD"/>
          </w:tcPr>
          <w:p w:rsidR="003A6921" w:rsidRPr="00B4580A" w:rsidRDefault="003A6921" w:rsidP="00507912">
            <w:pPr>
              <w:autoSpaceDE w:val="0"/>
              <w:autoSpaceDN w:val="0"/>
              <w:adjustRightInd w:val="0"/>
              <w:rPr>
                <w:rFonts w:ascii="Corbel,Italic" w:hAnsi="Corbel,Italic" w:cs="Corbel,Italic"/>
                <w:i/>
                <w:iCs/>
                <w:color w:val="000000"/>
              </w:rPr>
            </w:pPr>
            <w:r w:rsidRPr="00B4580A">
              <w:rPr>
                <w:rFonts w:ascii="Corbel,Italic" w:hAnsi="Corbel,Italic" w:cs="Corbel,Italic"/>
                <w:i/>
                <w:iCs/>
                <w:color w:val="000000"/>
              </w:rPr>
              <w:t>A.2) tasso di abbandono registrato nella scuola proponente nel corso dell’anno scolastico, sulla base dei dati disponibili nell’Anagrafe degli studenti</w:t>
            </w:r>
          </w:p>
        </w:tc>
        <w:tc>
          <w:tcPr>
            <w:tcW w:w="1411" w:type="dxa"/>
            <w:shd w:val="clear" w:color="auto" w:fill="F9FBFD"/>
          </w:tcPr>
          <w:p w:rsidR="003A6921" w:rsidRPr="00B4580A" w:rsidRDefault="003A6921" w:rsidP="00507912">
            <w:pPr>
              <w:autoSpaceDE w:val="0"/>
              <w:autoSpaceDN w:val="0"/>
              <w:adjustRightInd w:val="0"/>
              <w:jc w:val="center"/>
              <w:rPr>
                <w:rFonts w:ascii="Corbel" w:hAnsi="Corbel" w:cs="Corbel"/>
                <w:color w:val="000000"/>
              </w:rPr>
            </w:pPr>
            <w:r w:rsidRPr="00B4580A">
              <w:rPr>
                <w:rFonts w:ascii="Corbel" w:hAnsi="Corbel" w:cs="Corbel"/>
                <w:color w:val="000000"/>
              </w:rPr>
              <w:t>9</w:t>
            </w:r>
          </w:p>
        </w:tc>
      </w:tr>
      <w:tr w:rsidR="003A6921" w:rsidRPr="00B4580A" w:rsidTr="00507912">
        <w:tc>
          <w:tcPr>
            <w:tcW w:w="8217" w:type="dxa"/>
            <w:shd w:val="clear" w:color="auto" w:fill="F9FBFD"/>
          </w:tcPr>
          <w:p w:rsidR="003A6921" w:rsidRPr="00B4580A" w:rsidRDefault="003A6921" w:rsidP="00507912">
            <w:pPr>
              <w:autoSpaceDE w:val="0"/>
              <w:autoSpaceDN w:val="0"/>
              <w:adjustRightInd w:val="0"/>
              <w:rPr>
                <w:rFonts w:ascii="Corbel,Italic" w:hAnsi="Corbel,Italic" w:cs="Corbel,Italic"/>
                <w:i/>
                <w:iCs/>
                <w:color w:val="000000"/>
              </w:rPr>
            </w:pPr>
            <w:r w:rsidRPr="00B4580A">
              <w:rPr>
                <w:rFonts w:ascii="Corbel,Italic" w:hAnsi="Corbel,Italic" w:cs="Corbel,Italic"/>
                <w:i/>
                <w:iCs/>
                <w:color w:val="000000"/>
              </w:rPr>
              <w:t xml:space="preserve">A.3) status socio-economico delle famiglie di origine, rilevato dall’INVALSI </w:t>
            </w:r>
          </w:p>
        </w:tc>
        <w:tc>
          <w:tcPr>
            <w:tcW w:w="1411" w:type="dxa"/>
            <w:shd w:val="clear" w:color="auto" w:fill="F9FBFD"/>
          </w:tcPr>
          <w:p w:rsidR="003A6921" w:rsidRPr="00B4580A" w:rsidRDefault="003A6921" w:rsidP="00507912">
            <w:pPr>
              <w:autoSpaceDE w:val="0"/>
              <w:autoSpaceDN w:val="0"/>
              <w:adjustRightInd w:val="0"/>
              <w:jc w:val="center"/>
              <w:rPr>
                <w:rFonts w:ascii="Corbel" w:hAnsi="Corbel" w:cs="Corbel"/>
                <w:color w:val="000000"/>
              </w:rPr>
            </w:pPr>
            <w:r w:rsidRPr="00B4580A">
              <w:rPr>
                <w:rFonts w:ascii="Corbel" w:hAnsi="Corbel" w:cs="Corbel"/>
                <w:color w:val="000000"/>
              </w:rPr>
              <w:t>8</w:t>
            </w:r>
          </w:p>
        </w:tc>
      </w:tr>
      <w:tr w:rsidR="003A6921" w:rsidRPr="00B4580A" w:rsidTr="00507912">
        <w:tc>
          <w:tcPr>
            <w:tcW w:w="8217" w:type="dxa"/>
            <w:shd w:val="clear" w:color="auto" w:fill="F9FBFD"/>
          </w:tcPr>
          <w:p w:rsidR="003A6921" w:rsidRPr="00B4580A" w:rsidRDefault="003A6921" w:rsidP="00507912">
            <w:pPr>
              <w:rPr>
                <w:rFonts w:ascii="Corbel,Italic" w:hAnsi="Corbel,Italic" w:cs="Corbel,Italic"/>
                <w:i/>
                <w:iCs/>
                <w:color w:val="000000"/>
              </w:rPr>
            </w:pPr>
            <w:r w:rsidRPr="00B4580A">
              <w:rPr>
                <w:rFonts w:ascii="Corbel,Italic" w:hAnsi="Corbel,Italic" w:cs="Corbel,Italic"/>
                <w:i/>
                <w:iCs/>
                <w:color w:val="000000"/>
              </w:rPr>
              <w:t xml:space="preserve">A.4) tasso di deprivazione territoriale, rilevato dall’ISTAT </w:t>
            </w:r>
          </w:p>
        </w:tc>
        <w:tc>
          <w:tcPr>
            <w:tcW w:w="1411" w:type="dxa"/>
            <w:shd w:val="clear" w:color="auto" w:fill="F9FBFD"/>
          </w:tcPr>
          <w:p w:rsidR="003A6921" w:rsidRPr="00B4580A" w:rsidRDefault="003A6921" w:rsidP="00507912">
            <w:pPr>
              <w:jc w:val="center"/>
              <w:rPr>
                <w:rFonts w:ascii="Corbel" w:hAnsi="Corbel" w:cs="Corbel"/>
                <w:color w:val="000000"/>
              </w:rPr>
            </w:pPr>
            <w:r w:rsidRPr="00B4580A">
              <w:rPr>
                <w:rFonts w:ascii="Corbel" w:hAnsi="Corbel" w:cs="Corbel"/>
                <w:color w:val="000000"/>
              </w:rPr>
              <w:t>8</w:t>
            </w:r>
          </w:p>
        </w:tc>
      </w:tr>
      <w:tr w:rsidR="003A6921" w:rsidRPr="00B4580A" w:rsidTr="00507912">
        <w:tc>
          <w:tcPr>
            <w:tcW w:w="9628" w:type="dxa"/>
            <w:gridSpan w:val="2"/>
            <w:shd w:val="clear" w:color="auto" w:fill="ACB9CA" w:themeFill="text2" w:themeFillTint="66"/>
          </w:tcPr>
          <w:p w:rsidR="003A6921" w:rsidRPr="00B4580A" w:rsidRDefault="003A6921" w:rsidP="00507912">
            <w:pPr>
              <w:rPr>
                <w:rFonts w:ascii="Corbel" w:hAnsi="Corbel" w:cs="Corbel"/>
                <w:color w:val="000000"/>
              </w:rPr>
            </w:pPr>
            <w:r>
              <w:rPr>
                <w:rFonts w:ascii="Corbel,BoldItalic" w:hAnsi="Corbel,BoldItalic" w:cs="Corbel,BoldItalic"/>
                <w:b/>
                <w:bCs/>
                <w:i/>
                <w:iCs/>
              </w:rPr>
              <w:t>B – QUALITÀ DEL PROGETTO</w:t>
            </w:r>
          </w:p>
        </w:tc>
      </w:tr>
      <w:tr w:rsidR="003A6921" w:rsidRPr="00B4580A" w:rsidTr="00507912">
        <w:tc>
          <w:tcPr>
            <w:tcW w:w="8217" w:type="dxa"/>
            <w:shd w:val="clear" w:color="auto" w:fill="F9FBFD"/>
          </w:tcPr>
          <w:p w:rsidR="003A6921" w:rsidRDefault="003A6921" w:rsidP="00507912">
            <w:pPr>
              <w:autoSpaceDE w:val="0"/>
              <w:autoSpaceDN w:val="0"/>
              <w:adjustRightInd w:val="0"/>
              <w:rPr>
                <w:rFonts w:ascii="Corbel,Italic" w:hAnsi="Corbel,Italic" w:cs="Corbel,Italic"/>
                <w:i/>
                <w:iCs/>
              </w:rPr>
            </w:pPr>
            <w:proofErr w:type="gramStart"/>
            <w:r>
              <w:rPr>
                <w:rFonts w:ascii="Corbel,Italic" w:hAnsi="Corbel,Italic" w:cs="Corbel,Italic"/>
                <w:i/>
                <w:iCs/>
              </w:rPr>
              <w:t>in</w:t>
            </w:r>
            <w:proofErr w:type="gramEnd"/>
            <w:r>
              <w:rPr>
                <w:rFonts w:ascii="Corbel,Italic" w:hAnsi="Corbel,Italic" w:cs="Corbel,Italic"/>
                <w:i/>
                <w:iCs/>
              </w:rPr>
              <w:t xml:space="preserve"> termini di:</w:t>
            </w:r>
          </w:p>
          <w:p w:rsidR="003A6921" w:rsidRDefault="003A6921" w:rsidP="00507912">
            <w:pPr>
              <w:autoSpaceDE w:val="0"/>
              <w:autoSpaceDN w:val="0"/>
              <w:adjustRightInd w:val="0"/>
              <w:rPr>
                <w:rFonts w:ascii="Corbel,Italic" w:hAnsi="Corbel,Italic" w:cs="Corbel,Italic"/>
                <w:i/>
                <w:iCs/>
              </w:rPr>
            </w:pPr>
            <w:r>
              <w:rPr>
                <w:rFonts w:ascii="Corbel,Italic" w:hAnsi="Corbel,Italic" w:cs="Corbel,Italic"/>
                <w:i/>
                <w:iCs/>
              </w:rPr>
              <w:t>B.1) coerenza con l’offerta formativa già in essere e capacità di integrazione con altri progetti della scuola in modo da stimolare la collaborazione interdisciplinare, attuati anche grazie a finanziamenti diversi, oltre che con altre azioni del PONFSE o di rilievo locale e nazionale;</w:t>
            </w:r>
          </w:p>
          <w:p w:rsidR="003A6921" w:rsidRDefault="003A6921" w:rsidP="00507912">
            <w:pPr>
              <w:autoSpaceDE w:val="0"/>
              <w:autoSpaceDN w:val="0"/>
              <w:adjustRightInd w:val="0"/>
              <w:rPr>
                <w:rFonts w:ascii="Corbel,Italic" w:hAnsi="Corbel,Italic" w:cs="Corbel,Italic"/>
                <w:i/>
                <w:iCs/>
              </w:rPr>
            </w:pPr>
            <w:r>
              <w:rPr>
                <w:rFonts w:ascii="Corbel,Italic" w:hAnsi="Corbel,Italic" w:cs="Corbel,Italic"/>
                <w:i/>
                <w:iCs/>
              </w:rPr>
              <w:t>B.2) innovatività e qualità pedagogica, in termini di metodologie, strumenti, impatti, nell’ottica della promozione di una didattica attiva e laboratoriale e della collaborazione tra i diversi attori della comunità educante;</w:t>
            </w:r>
          </w:p>
          <w:p w:rsidR="003A6921" w:rsidRDefault="003A6921" w:rsidP="00507912">
            <w:pPr>
              <w:autoSpaceDE w:val="0"/>
              <w:autoSpaceDN w:val="0"/>
              <w:adjustRightInd w:val="0"/>
              <w:rPr>
                <w:rFonts w:ascii="Corbel,Italic" w:hAnsi="Corbel,Italic" w:cs="Corbel,Italic"/>
                <w:i/>
                <w:iCs/>
              </w:rPr>
            </w:pPr>
            <w:r>
              <w:rPr>
                <w:rFonts w:ascii="Corbel,Italic" w:hAnsi="Corbel,Italic" w:cs="Corbel,Italic"/>
                <w:i/>
                <w:iCs/>
              </w:rPr>
              <w:t xml:space="preserve">B.3) </w:t>
            </w:r>
            <w:proofErr w:type="spellStart"/>
            <w:r>
              <w:rPr>
                <w:rFonts w:ascii="Corbel,Italic" w:hAnsi="Corbel,Italic" w:cs="Corbel,Italic"/>
                <w:i/>
                <w:iCs/>
              </w:rPr>
              <w:t>inclusività</w:t>
            </w:r>
            <w:proofErr w:type="spellEnd"/>
            <w:r>
              <w:rPr>
                <w:rFonts w:ascii="Corbel,Italic" w:hAnsi="Corbel,Italic" w:cs="Corbel,Italic"/>
                <w:i/>
                <w:iCs/>
              </w:rPr>
              <w:t>, intesa come capacità della proposta progettuale di includere le studentesse e gli studenti con maggiore disagio negli apprendimenti e di migliorare il dialogo tra studentesse e studenti e le capacità cooperative entro il gruppo-classe;</w:t>
            </w:r>
          </w:p>
          <w:p w:rsidR="003A6921" w:rsidRDefault="003A6921" w:rsidP="00507912">
            <w:pPr>
              <w:autoSpaceDE w:val="0"/>
              <w:autoSpaceDN w:val="0"/>
              <w:adjustRightInd w:val="0"/>
              <w:rPr>
                <w:rFonts w:ascii="Corbel,Italic" w:hAnsi="Corbel,Italic" w:cs="Corbel,Italic"/>
                <w:i/>
                <w:iCs/>
              </w:rPr>
            </w:pPr>
            <w:r>
              <w:rPr>
                <w:rFonts w:ascii="Corbel,Italic" w:hAnsi="Corbel,Italic" w:cs="Corbel,Italic"/>
                <w:i/>
                <w:iCs/>
              </w:rPr>
              <w:t>B.4) valutabilità, intesa come capacità della proposta progettuale di stimolare la riflessione pedagogica e di misurare il progresso effettivo nell’acquisizione delle competenze, evidenziando eventuali legami con la ricerca anche accademica;</w:t>
            </w:r>
          </w:p>
          <w:p w:rsidR="003A6921" w:rsidRDefault="003A6921" w:rsidP="00507912">
            <w:pPr>
              <w:autoSpaceDE w:val="0"/>
              <w:autoSpaceDN w:val="0"/>
              <w:adjustRightInd w:val="0"/>
              <w:rPr>
                <w:rFonts w:ascii="Corbel,Italic" w:hAnsi="Corbel,Italic" w:cs="Corbel,Italic"/>
                <w:i/>
                <w:iCs/>
              </w:rPr>
            </w:pPr>
            <w:r>
              <w:rPr>
                <w:rFonts w:ascii="Corbel,Italic" w:hAnsi="Corbel,Italic" w:cs="Corbel,Italic"/>
                <w:i/>
                <w:iCs/>
              </w:rPr>
              <w:t>B.5) prospettive di scalabilità e replicabilità della stessa nel tempo e sul territorio</w:t>
            </w:r>
          </w:p>
          <w:p w:rsidR="003A6921" w:rsidRDefault="003A6921" w:rsidP="00507912">
            <w:pPr>
              <w:rPr>
                <w:rFonts w:ascii="Corbel,BoldItalic" w:hAnsi="Corbel,BoldItalic" w:cs="Corbel,BoldItalic"/>
                <w:b/>
                <w:bCs/>
                <w:i/>
                <w:iCs/>
              </w:rPr>
            </w:pPr>
            <w:r>
              <w:rPr>
                <w:rFonts w:ascii="Corbel,Italic" w:hAnsi="Corbel,Italic" w:cs="Corbel,Italic"/>
                <w:i/>
                <w:iCs/>
              </w:rPr>
              <w:t>B.6) integrazione, nell’ambito del progetto didattico, di contenuti relativi a entrambi i percorsi: “pensiero computazionale e creatività digitale” e “cittadinanza digitale”</w:t>
            </w:r>
          </w:p>
        </w:tc>
        <w:tc>
          <w:tcPr>
            <w:tcW w:w="1411" w:type="dxa"/>
            <w:shd w:val="clear" w:color="auto" w:fill="F9FBFD"/>
            <w:vAlign w:val="center"/>
          </w:tcPr>
          <w:p w:rsidR="003A6921" w:rsidRPr="00B4580A" w:rsidRDefault="003A6921" w:rsidP="00507912">
            <w:pPr>
              <w:jc w:val="center"/>
              <w:rPr>
                <w:rFonts w:ascii="Corbel" w:hAnsi="Corbel" w:cs="Corbel"/>
                <w:color w:val="000000"/>
              </w:rPr>
            </w:pPr>
            <w:r>
              <w:rPr>
                <w:rFonts w:ascii="Corbel" w:hAnsi="Corbel" w:cs="Corbel"/>
                <w:color w:val="000000"/>
              </w:rPr>
              <w:t>42</w:t>
            </w:r>
          </w:p>
        </w:tc>
      </w:tr>
      <w:tr w:rsidR="003A6921" w:rsidRPr="00B4580A" w:rsidTr="00507912">
        <w:tc>
          <w:tcPr>
            <w:tcW w:w="8217" w:type="dxa"/>
            <w:shd w:val="clear" w:color="auto" w:fill="ACB9CA" w:themeFill="text2" w:themeFillTint="66"/>
          </w:tcPr>
          <w:p w:rsidR="003A6921" w:rsidRPr="00B4580A" w:rsidRDefault="003A6921" w:rsidP="00507912">
            <w:pPr>
              <w:rPr>
                <w:rFonts w:ascii="Corbel,BoldItalic" w:hAnsi="Corbel,BoldItalic" w:cs="Corbel,BoldItalic"/>
                <w:b/>
                <w:bCs/>
                <w:i/>
                <w:iCs/>
              </w:rPr>
            </w:pPr>
            <w:r>
              <w:rPr>
                <w:rFonts w:ascii="Corbel,BoldItalic" w:hAnsi="Corbel,BoldItalic" w:cs="Corbel,BoldItalic"/>
                <w:b/>
                <w:bCs/>
                <w:i/>
                <w:iCs/>
              </w:rPr>
              <w:t>C - VALORE DI COMUNITÀ</w:t>
            </w:r>
          </w:p>
        </w:tc>
        <w:tc>
          <w:tcPr>
            <w:tcW w:w="1411" w:type="dxa"/>
            <w:shd w:val="clear" w:color="auto" w:fill="ACB9CA" w:themeFill="text2" w:themeFillTint="66"/>
          </w:tcPr>
          <w:p w:rsidR="003A6921" w:rsidRPr="00B4580A" w:rsidRDefault="003A6921" w:rsidP="00507912">
            <w:pPr>
              <w:rPr>
                <w:rFonts w:ascii="Corbel,BoldItalic" w:hAnsi="Corbel,BoldItalic" w:cs="Corbel,BoldItalic"/>
                <w:b/>
                <w:bCs/>
                <w:i/>
                <w:iCs/>
              </w:rPr>
            </w:pPr>
          </w:p>
        </w:tc>
      </w:tr>
      <w:tr w:rsidR="003A6921" w:rsidRPr="00B4580A" w:rsidTr="00507912">
        <w:tc>
          <w:tcPr>
            <w:tcW w:w="8217" w:type="dxa"/>
            <w:shd w:val="clear" w:color="auto" w:fill="F9FBFD"/>
          </w:tcPr>
          <w:p w:rsidR="003A6921" w:rsidRDefault="003A6921" w:rsidP="00507912">
            <w:pPr>
              <w:autoSpaceDE w:val="0"/>
              <w:autoSpaceDN w:val="0"/>
              <w:adjustRightInd w:val="0"/>
              <w:rPr>
                <w:rFonts w:ascii="Corbel,Italic" w:hAnsi="Corbel,Italic" w:cs="Corbel,Italic"/>
                <w:i/>
                <w:iCs/>
              </w:rPr>
            </w:pPr>
            <w:proofErr w:type="gramStart"/>
            <w:r>
              <w:rPr>
                <w:rFonts w:ascii="Corbel,Italic" w:hAnsi="Corbel,Italic" w:cs="Corbel,Italic"/>
                <w:i/>
                <w:iCs/>
              </w:rPr>
              <w:t>in</w:t>
            </w:r>
            <w:proofErr w:type="gramEnd"/>
            <w:r>
              <w:rPr>
                <w:rFonts w:ascii="Corbel,Italic" w:hAnsi="Corbel,Italic" w:cs="Corbel,Italic"/>
                <w:i/>
                <w:iCs/>
              </w:rPr>
              <w:t xml:space="preserve"> termini di:</w:t>
            </w:r>
          </w:p>
          <w:p w:rsidR="003A6921" w:rsidRDefault="003A6921" w:rsidP="00507912">
            <w:pPr>
              <w:autoSpaceDE w:val="0"/>
              <w:autoSpaceDN w:val="0"/>
              <w:adjustRightInd w:val="0"/>
              <w:ind w:left="454" w:hanging="454"/>
              <w:rPr>
                <w:rFonts w:ascii="Corbel,BoldItalic" w:hAnsi="Corbel,BoldItalic" w:cs="Corbel,BoldItalic"/>
                <w:b/>
                <w:bCs/>
                <w:i/>
                <w:iCs/>
              </w:rPr>
            </w:pPr>
            <w:r>
              <w:rPr>
                <w:rFonts w:ascii="Corbel,Italic" w:hAnsi="Corbel,Italic" w:cs="Corbel,Italic"/>
                <w:i/>
                <w:iCs/>
              </w:rPr>
              <w:t>C.1) eventuale collaborazione, a titolo gratuito, già attiva con Università e/o Enti Pubblici o privati (ad esempio, associazioni, fondazioni, enti del terzo settore, università, centri di ricerca, operatori qualificati, reti già presenti a livello locale) comprovata da un accordo scritto e finalizzata sia alla costruzione condivisa dei percorsi didattici sia all’uso di spazi e attrezzature e alla condivisione di competenze;</w:t>
            </w:r>
          </w:p>
        </w:tc>
        <w:tc>
          <w:tcPr>
            <w:tcW w:w="1411" w:type="dxa"/>
            <w:shd w:val="clear" w:color="auto" w:fill="F9FBFD"/>
            <w:vAlign w:val="center"/>
          </w:tcPr>
          <w:p w:rsidR="003A6921" w:rsidRDefault="003A6921" w:rsidP="00507912">
            <w:pPr>
              <w:jc w:val="center"/>
              <w:rPr>
                <w:rFonts w:ascii="Corbel" w:hAnsi="Corbel" w:cs="Corbel"/>
                <w:color w:val="000000"/>
              </w:rPr>
            </w:pPr>
            <w:r>
              <w:rPr>
                <w:rFonts w:ascii="Corbel" w:hAnsi="Corbel" w:cs="Corbel"/>
                <w:color w:val="000000"/>
              </w:rPr>
              <w:t>8</w:t>
            </w:r>
          </w:p>
        </w:tc>
      </w:tr>
      <w:tr w:rsidR="003A6921" w:rsidRPr="00B4580A" w:rsidTr="00507912">
        <w:tc>
          <w:tcPr>
            <w:tcW w:w="8217" w:type="dxa"/>
            <w:shd w:val="clear" w:color="auto" w:fill="F9FBFD"/>
          </w:tcPr>
          <w:p w:rsidR="003A6921" w:rsidRDefault="003A6921" w:rsidP="00507912">
            <w:pPr>
              <w:autoSpaceDE w:val="0"/>
              <w:autoSpaceDN w:val="0"/>
              <w:adjustRightInd w:val="0"/>
              <w:ind w:left="454" w:hanging="454"/>
              <w:rPr>
                <w:rFonts w:ascii="Corbel,Italic" w:hAnsi="Corbel,Italic" w:cs="Corbel,Italic"/>
                <w:i/>
                <w:iCs/>
              </w:rPr>
            </w:pPr>
            <w:r>
              <w:rPr>
                <w:rFonts w:ascii="Corbel,Italic" w:hAnsi="Corbel,Italic" w:cs="Corbel,Italic"/>
                <w:i/>
                <w:iCs/>
              </w:rPr>
              <w:t xml:space="preserve">C.2) eventuali accordi di collaborazione con altre istituzioni scolastiche finalizzati alla condivisione di competenze tra studenti sia dello stesso ciclo che di cicli differenti, in un’ottica di </w:t>
            </w:r>
            <w:proofErr w:type="spellStart"/>
            <w:r>
              <w:rPr>
                <w:rFonts w:ascii="Corbel,Italic" w:hAnsi="Corbel,Italic" w:cs="Corbel,Italic"/>
                <w:i/>
                <w:iCs/>
              </w:rPr>
              <w:t>peer-education</w:t>
            </w:r>
            <w:proofErr w:type="spellEnd"/>
            <w:r>
              <w:rPr>
                <w:rFonts w:ascii="Corbel,Italic" w:hAnsi="Corbel,Italic" w:cs="Corbel,Italic"/>
                <w:i/>
                <w:iCs/>
              </w:rPr>
              <w:t>;</w:t>
            </w:r>
          </w:p>
          <w:p w:rsidR="003A6921" w:rsidRDefault="003A6921" w:rsidP="00507912">
            <w:pPr>
              <w:autoSpaceDE w:val="0"/>
              <w:autoSpaceDN w:val="0"/>
              <w:adjustRightInd w:val="0"/>
              <w:rPr>
                <w:rFonts w:ascii="Corbel,Italic" w:hAnsi="Corbel,Italic" w:cs="Corbel,Italic"/>
                <w:i/>
                <w:iCs/>
              </w:rPr>
            </w:pPr>
          </w:p>
        </w:tc>
        <w:tc>
          <w:tcPr>
            <w:tcW w:w="1411" w:type="dxa"/>
            <w:shd w:val="clear" w:color="auto" w:fill="F9FBFD"/>
            <w:vAlign w:val="center"/>
          </w:tcPr>
          <w:p w:rsidR="003A6921" w:rsidRDefault="003A6921" w:rsidP="00507912">
            <w:pPr>
              <w:jc w:val="center"/>
              <w:rPr>
                <w:rFonts w:ascii="Corbel" w:hAnsi="Corbel" w:cs="Corbel"/>
                <w:color w:val="000000"/>
              </w:rPr>
            </w:pPr>
            <w:r>
              <w:rPr>
                <w:rFonts w:ascii="Corbel" w:hAnsi="Corbel" w:cs="Corbel"/>
                <w:color w:val="000000"/>
              </w:rPr>
              <w:t>8</w:t>
            </w:r>
          </w:p>
        </w:tc>
      </w:tr>
      <w:tr w:rsidR="003A6921" w:rsidRPr="00B4580A" w:rsidTr="00507912">
        <w:tc>
          <w:tcPr>
            <w:tcW w:w="8217" w:type="dxa"/>
            <w:shd w:val="clear" w:color="auto" w:fill="F9FBFD"/>
          </w:tcPr>
          <w:p w:rsidR="003A6921" w:rsidRDefault="003A6921" w:rsidP="00507912">
            <w:pPr>
              <w:autoSpaceDE w:val="0"/>
              <w:autoSpaceDN w:val="0"/>
              <w:adjustRightInd w:val="0"/>
              <w:rPr>
                <w:rFonts w:ascii="Corbel,Italic" w:hAnsi="Corbel,Italic" w:cs="Corbel,Italic"/>
                <w:i/>
                <w:iCs/>
              </w:rPr>
            </w:pPr>
            <w:r>
              <w:rPr>
                <w:rFonts w:ascii="Corbel,Italic" w:hAnsi="Corbel,Italic" w:cs="Corbel,Italic"/>
                <w:i/>
                <w:iCs/>
              </w:rPr>
              <w:t>C.3) modalità di coinvolgimento di studentesse e studenti e genitori nella progettazione da definire nell’ambito della descrizione del progetto.</w:t>
            </w:r>
          </w:p>
        </w:tc>
        <w:tc>
          <w:tcPr>
            <w:tcW w:w="1411" w:type="dxa"/>
            <w:shd w:val="clear" w:color="auto" w:fill="F9FBFD"/>
            <w:vAlign w:val="center"/>
          </w:tcPr>
          <w:p w:rsidR="003A6921" w:rsidRDefault="003A6921" w:rsidP="00507912">
            <w:pPr>
              <w:jc w:val="center"/>
              <w:rPr>
                <w:rFonts w:ascii="Corbel" w:hAnsi="Corbel" w:cs="Corbel"/>
                <w:color w:val="000000"/>
              </w:rPr>
            </w:pPr>
            <w:r>
              <w:rPr>
                <w:rFonts w:ascii="Corbel" w:hAnsi="Corbel" w:cs="Corbel"/>
                <w:color w:val="000000"/>
              </w:rPr>
              <w:t>8</w:t>
            </w:r>
          </w:p>
        </w:tc>
      </w:tr>
      <w:tr w:rsidR="003A6921" w:rsidRPr="00B4580A" w:rsidTr="00507912">
        <w:tc>
          <w:tcPr>
            <w:tcW w:w="8217" w:type="dxa"/>
            <w:shd w:val="clear" w:color="auto" w:fill="2F5496" w:themeFill="accent5" w:themeFillShade="BF"/>
          </w:tcPr>
          <w:p w:rsidR="003A6921" w:rsidRPr="00B4580A" w:rsidRDefault="003A6921" w:rsidP="00507912">
            <w:pPr>
              <w:autoSpaceDE w:val="0"/>
              <w:autoSpaceDN w:val="0"/>
              <w:adjustRightInd w:val="0"/>
              <w:rPr>
                <w:rFonts w:cs="Corbel,BoldItalic"/>
                <w:b/>
                <w:bCs/>
                <w:i/>
                <w:iCs/>
                <w:color w:val="FFFFFF" w:themeColor="background1"/>
                <w:sz w:val="24"/>
              </w:rPr>
            </w:pPr>
            <w:r w:rsidRPr="00B4580A">
              <w:rPr>
                <w:rFonts w:cs="Corbel,BoldItalic"/>
                <w:b/>
                <w:bCs/>
                <w:i/>
                <w:iCs/>
                <w:color w:val="FFFFFF" w:themeColor="background1"/>
                <w:sz w:val="24"/>
              </w:rPr>
              <w:t>TOTALE</w:t>
            </w:r>
          </w:p>
        </w:tc>
        <w:tc>
          <w:tcPr>
            <w:tcW w:w="1411" w:type="dxa"/>
            <w:shd w:val="clear" w:color="auto" w:fill="2F5496" w:themeFill="accent5" w:themeFillShade="BF"/>
          </w:tcPr>
          <w:p w:rsidR="003A6921" w:rsidRPr="00B4580A" w:rsidRDefault="003A6921" w:rsidP="00507912">
            <w:pPr>
              <w:autoSpaceDE w:val="0"/>
              <w:autoSpaceDN w:val="0"/>
              <w:adjustRightInd w:val="0"/>
              <w:jc w:val="center"/>
              <w:rPr>
                <w:rFonts w:cs="Corbel,BoldItalic"/>
                <w:b/>
                <w:bCs/>
                <w:i/>
                <w:iCs/>
                <w:color w:val="FFFFFF" w:themeColor="background1"/>
                <w:sz w:val="24"/>
              </w:rPr>
            </w:pPr>
            <w:r w:rsidRPr="00B4580A">
              <w:rPr>
                <w:rFonts w:cs="Corbel,BoldItalic"/>
                <w:b/>
                <w:bCs/>
                <w:i/>
                <w:iCs/>
                <w:color w:val="FFFFFF" w:themeColor="background1"/>
                <w:sz w:val="24"/>
              </w:rPr>
              <w:t>100</w:t>
            </w:r>
          </w:p>
        </w:tc>
      </w:tr>
    </w:tbl>
    <w:p w:rsidR="00BB72E2" w:rsidRPr="00E4576B" w:rsidRDefault="00BB72E2" w:rsidP="00BB72E2">
      <w:pPr>
        <w:spacing w:after="0"/>
        <w:rPr>
          <w:b/>
          <w:color w:val="2E74B5" w:themeColor="accent1" w:themeShade="BF"/>
          <w:sz w:val="32"/>
          <w:szCs w:val="32"/>
          <w:u w:val="single"/>
        </w:rPr>
      </w:pPr>
      <w:r>
        <w:rPr>
          <w:b/>
          <w:color w:val="2E74B5" w:themeColor="accent1" w:themeShade="BF"/>
          <w:sz w:val="32"/>
          <w:szCs w:val="32"/>
          <w:u w:val="single"/>
        </w:rPr>
        <w:lastRenderedPageBreak/>
        <w:t>Massimali del progetto</w:t>
      </w:r>
    </w:p>
    <w:p w:rsidR="00E4576B" w:rsidRPr="00AF308B" w:rsidRDefault="00BB72E2" w:rsidP="00AF308B">
      <w:pPr>
        <w:autoSpaceDE w:val="0"/>
        <w:autoSpaceDN w:val="0"/>
        <w:adjustRightInd w:val="0"/>
        <w:spacing w:after="60" w:line="240" w:lineRule="auto"/>
        <w:rPr>
          <w:rFonts w:cs="Corbel"/>
        </w:rPr>
      </w:pPr>
      <w:r>
        <w:rPr>
          <w:rFonts w:ascii="Corbel" w:hAnsi="Corbel" w:cs="Corbel"/>
        </w:rPr>
        <w:t xml:space="preserve">Ciascuna proposta progettuale delle scuole non può superare l’importo massimo di </w:t>
      </w:r>
      <w:r>
        <w:rPr>
          <w:rFonts w:ascii="Corbel,Bold" w:hAnsi="Corbel,Bold" w:cs="Corbel,Bold"/>
          <w:b/>
          <w:bCs/>
        </w:rPr>
        <w:t>Euro 25.000,00</w:t>
      </w:r>
    </w:p>
    <w:tbl>
      <w:tblPr>
        <w:tblStyle w:val="Grigliatabella"/>
        <w:tblW w:w="0" w:type="auto"/>
        <w:jc w:val="center"/>
        <w:tblLook w:val="04A0" w:firstRow="1" w:lastRow="0" w:firstColumn="1" w:lastColumn="0" w:noHBand="0" w:noVBand="1"/>
      </w:tblPr>
      <w:tblGrid>
        <w:gridCol w:w="4814"/>
        <w:gridCol w:w="4814"/>
      </w:tblGrid>
      <w:tr w:rsidR="00C31165" w:rsidTr="001E145F">
        <w:trPr>
          <w:jc w:val="center"/>
        </w:trPr>
        <w:tc>
          <w:tcPr>
            <w:tcW w:w="4814" w:type="dxa"/>
            <w:tcBorders>
              <w:bottom w:val="single" w:sz="4" w:space="0" w:color="auto"/>
            </w:tcBorders>
            <w:shd w:val="clear" w:color="auto" w:fill="002060"/>
          </w:tcPr>
          <w:p w:rsidR="00C31165" w:rsidRDefault="00C31165" w:rsidP="001E145F">
            <w:pPr>
              <w:autoSpaceDE w:val="0"/>
              <w:autoSpaceDN w:val="0"/>
              <w:adjustRightInd w:val="0"/>
              <w:rPr>
                <w:rFonts w:cs="HelveticaNeue"/>
                <w:sz w:val="24"/>
                <w:szCs w:val="24"/>
              </w:rPr>
            </w:pPr>
            <w:r>
              <w:rPr>
                <w:rFonts w:ascii="Corbel,Bold" w:hAnsi="Corbel,Bold" w:cs="Corbel,Bold"/>
                <w:b/>
                <w:bCs/>
              </w:rPr>
              <w:t>Voci di costo del progetto</w:t>
            </w:r>
          </w:p>
        </w:tc>
        <w:tc>
          <w:tcPr>
            <w:tcW w:w="4814" w:type="dxa"/>
            <w:tcBorders>
              <w:bottom w:val="single" w:sz="4" w:space="0" w:color="auto"/>
            </w:tcBorders>
            <w:shd w:val="clear" w:color="auto" w:fill="002060"/>
          </w:tcPr>
          <w:p w:rsidR="00C31165" w:rsidRDefault="00C31165" w:rsidP="001E145F">
            <w:pPr>
              <w:autoSpaceDE w:val="0"/>
              <w:autoSpaceDN w:val="0"/>
              <w:adjustRightInd w:val="0"/>
              <w:rPr>
                <w:rFonts w:cs="HelveticaNeue"/>
                <w:sz w:val="24"/>
                <w:szCs w:val="24"/>
              </w:rPr>
            </w:pPr>
            <w:r>
              <w:rPr>
                <w:rFonts w:ascii="Corbel,Bold" w:hAnsi="Corbel,Bold" w:cs="Corbel,Bold"/>
                <w:b/>
                <w:bCs/>
              </w:rPr>
              <w:t>Calcolo dell’importo e massimale</w:t>
            </w:r>
          </w:p>
        </w:tc>
      </w:tr>
      <w:tr w:rsidR="00C31165" w:rsidRPr="00A32BDE" w:rsidTr="001E145F">
        <w:trPr>
          <w:trHeight w:val="2008"/>
          <w:jc w:val="center"/>
        </w:trPr>
        <w:tc>
          <w:tcPr>
            <w:tcW w:w="4814" w:type="dxa"/>
            <w:tcBorders>
              <w:bottom w:val="nil"/>
            </w:tcBorders>
          </w:tcPr>
          <w:p w:rsidR="00C31165" w:rsidRPr="00A32BDE" w:rsidRDefault="00C31165" w:rsidP="001E145F">
            <w:pPr>
              <w:autoSpaceDE w:val="0"/>
              <w:autoSpaceDN w:val="0"/>
              <w:adjustRightInd w:val="0"/>
              <w:ind w:left="171" w:hanging="171"/>
              <w:rPr>
                <w:rFonts w:cs="HelveticaNeue"/>
                <w:sz w:val="20"/>
                <w:szCs w:val="20"/>
              </w:rPr>
            </w:pPr>
            <w:r w:rsidRPr="00A32BDE">
              <w:rPr>
                <w:rFonts w:ascii="Corbel" w:hAnsi="Corbel" w:cs="Corbel"/>
                <w:sz w:val="20"/>
                <w:szCs w:val="20"/>
              </w:rPr>
              <w:t xml:space="preserve">1. </w:t>
            </w:r>
            <w:r w:rsidRPr="00A32BDE">
              <w:rPr>
                <w:rFonts w:ascii="Corbel,Bold" w:hAnsi="Corbel,Bold" w:cs="Corbel,Bold"/>
                <w:b/>
                <w:bCs/>
                <w:sz w:val="20"/>
                <w:szCs w:val="20"/>
              </w:rPr>
              <w:t xml:space="preserve">Attività formativa </w:t>
            </w:r>
            <w:r w:rsidRPr="00A32BDE">
              <w:rPr>
                <w:rFonts w:ascii="Corbel" w:hAnsi="Corbel" w:cs="Corbel"/>
                <w:sz w:val="20"/>
                <w:szCs w:val="20"/>
              </w:rPr>
              <w:t>– comprende i costi relativi alle figure professionali coinvolte nell’attività di formazione (esperto, tutor)</w:t>
            </w:r>
          </w:p>
        </w:tc>
        <w:tc>
          <w:tcPr>
            <w:tcW w:w="4814" w:type="dxa"/>
            <w:tcBorders>
              <w:bottom w:val="nil"/>
            </w:tcBorders>
          </w:tcPr>
          <w:p w:rsidR="00C31165" w:rsidRPr="00A32BDE" w:rsidRDefault="00C31165" w:rsidP="001E145F">
            <w:pPr>
              <w:autoSpaceDE w:val="0"/>
              <w:autoSpaceDN w:val="0"/>
              <w:adjustRightInd w:val="0"/>
              <w:rPr>
                <w:rFonts w:cs="HelveticaNeue"/>
                <w:sz w:val="20"/>
                <w:szCs w:val="20"/>
              </w:rPr>
            </w:pPr>
            <w:r w:rsidRPr="00A32BDE">
              <w:rPr>
                <w:rFonts w:ascii="Corbel" w:hAnsi="Corbel" w:cs="Corbel"/>
                <w:sz w:val="20"/>
                <w:szCs w:val="20"/>
              </w:rPr>
              <w:t xml:space="preserve">Il massimale del costo orario omnicomprensivo di tutti i costi sostenuti da esperto e tutor per effettuare le attività di formazione è di € 70 per l’esperto e € 30 per il </w:t>
            </w:r>
            <w:r w:rsidRPr="00A32BDE">
              <w:rPr>
                <w:rFonts w:ascii="Corbel,Italic" w:hAnsi="Corbel,Italic" w:cs="Corbel,Italic"/>
                <w:i/>
                <w:iCs/>
                <w:sz w:val="20"/>
                <w:szCs w:val="20"/>
              </w:rPr>
              <w:t xml:space="preserve">tutor. </w:t>
            </w:r>
            <w:r w:rsidRPr="00A32BDE">
              <w:rPr>
                <w:rFonts w:ascii="Corbel" w:hAnsi="Corbel" w:cs="Corbel"/>
                <w:sz w:val="20"/>
                <w:szCs w:val="20"/>
              </w:rPr>
              <w:t>Il costo della formazione si ottiene moltiplicando le ore di durata del modulo per il costo indicato di ciascuna delle suddette figure professionali coinvolte nello svolgimento dell’attività formativa.</w:t>
            </w:r>
          </w:p>
        </w:tc>
      </w:tr>
      <w:tr w:rsidR="00C31165" w:rsidRPr="00A32BDE" w:rsidTr="001E145F">
        <w:trPr>
          <w:trHeight w:val="1996"/>
          <w:jc w:val="center"/>
        </w:trPr>
        <w:tc>
          <w:tcPr>
            <w:tcW w:w="4814" w:type="dxa"/>
            <w:tcBorders>
              <w:top w:val="nil"/>
              <w:bottom w:val="nil"/>
            </w:tcBorders>
          </w:tcPr>
          <w:p w:rsidR="00C31165" w:rsidRPr="00A32BDE" w:rsidRDefault="00C31165" w:rsidP="001E145F">
            <w:pPr>
              <w:autoSpaceDE w:val="0"/>
              <w:autoSpaceDN w:val="0"/>
              <w:adjustRightInd w:val="0"/>
              <w:ind w:left="171" w:hanging="171"/>
              <w:rPr>
                <w:rFonts w:cs="HelveticaNeue"/>
                <w:sz w:val="20"/>
                <w:szCs w:val="20"/>
              </w:rPr>
            </w:pPr>
            <w:r w:rsidRPr="00A32BDE">
              <w:rPr>
                <w:rFonts w:ascii="Corbel" w:hAnsi="Corbel" w:cs="Corbel"/>
                <w:sz w:val="20"/>
                <w:szCs w:val="20"/>
              </w:rPr>
              <w:t xml:space="preserve">2. </w:t>
            </w:r>
            <w:r w:rsidRPr="00A32BDE">
              <w:rPr>
                <w:rFonts w:ascii="Corbel,Bold" w:hAnsi="Corbel,Bold" w:cs="Corbel,Bold"/>
                <w:b/>
                <w:bCs/>
                <w:sz w:val="20"/>
                <w:szCs w:val="20"/>
              </w:rPr>
              <w:t xml:space="preserve">Attività di gestione </w:t>
            </w:r>
            <w:r w:rsidRPr="00A32BDE">
              <w:rPr>
                <w:rFonts w:ascii="Corbel" w:hAnsi="Corbel" w:cs="Corbel"/>
                <w:sz w:val="20"/>
                <w:szCs w:val="20"/>
              </w:rPr>
              <w:t>– comprende tutte le spese legate alla gestione delle attività formative previste dal progetto (materiali didattici, di consumo, noleggio di attrezzature, rimborso spese di viaggio, compensi per DS, DSGA, referente per la valutazione, altro personale della scuola, pubblicità ecc.)</w:t>
            </w:r>
          </w:p>
        </w:tc>
        <w:tc>
          <w:tcPr>
            <w:tcW w:w="4814" w:type="dxa"/>
            <w:tcBorders>
              <w:top w:val="nil"/>
              <w:bottom w:val="nil"/>
            </w:tcBorders>
          </w:tcPr>
          <w:p w:rsidR="00C31165" w:rsidRPr="00A32BDE" w:rsidRDefault="00C31165" w:rsidP="001E145F">
            <w:pPr>
              <w:autoSpaceDE w:val="0"/>
              <w:autoSpaceDN w:val="0"/>
              <w:adjustRightInd w:val="0"/>
              <w:rPr>
                <w:rFonts w:cs="HelveticaNeue"/>
                <w:sz w:val="20"/>
                <w:szCs w:val="20"/>
              </w:rPr>
            </w:pPr>
            <w:r w:rsidRPr="00A32BDE">
              <w:rPr>
                <w:rFonts w:ascii="Corbel" w:hAnsi="Corbel" w:cs="Corbel"/>
                <w:sz w:val="20"/>
                <w:szCs w:val="20"/>
              </w:rPr>
              <w:t>Il costo di gestione si ottiene moltiplicando le ore di durata del modulo per il numero di partecipanti per l’importo fisso di € 3,47 (anche se è consentita la partecipazione di un numero superiore di partecipanti il costo di questa voce deve essere costruito su un massimo di 20 partecipanti)</w:t>
            </w:r>
          </w:p>
        </w:tc>
      </w:tr>
      <w:tr w:rsidR="00C31165" w:rsidRPr="00A32BDE" w:rsidTr="001E145F">
        <w:trPr>
          <w:trHeight w:val="4110"/>
          <w:jc w:val="center"/>
        </w:trPr>
        <w:tc>
          <w:tcPr>
            <w:tcW w:w="4814" w:type="dxa"/>
            <w:tcBorders>
              <w:top w:val="nil"/>
              <w:bottom w:val="nil"/>
            </w:tcBorders>
          </w:tcPr>
          <w:p w:rsidR="00C31165" w:rsidRPr="00A32BDE" w:rsidRDefault="00C31165" w:rsidP="001E145F">
            <w:pPr>
              <w:autoSpaceDE w:val="0"/>
              <w:autoSpaceDN w:val="0"/>
              <w:adjustRightInd w:val="0"/>
              <w:ind w:left="171" w:hanging="171"/>
              <w:rPr>
                <w:rFonts w:ascii="Corbel" w:hAnsi="Corbel" w:cs="Corbel"/>
                <w:sz w:val="20"/>
                <w:szCs w:val="20"/>
              </w:rPr>
            </w:pPr>
            <w:r w:rsidRPr="00A32BDE">
              <w:rPr>
                <w:rFonts w:ascii="Corbel" w:hAnsi="Corbel" w:cs="Corbel"/>
                <w:sz w:val="20"/>
                <w:szCs w:val="20"/>
              </w:rPr>
              <w:t xml:space="preserve">3. </w:t>
            </w:r>
            <w:r w:rsidRPr="00A32BDE">
              <w:rPr>
                <w:rFonts w:ascii="Corbel,Bold" w:hAnsi="Corbel,Bold" w:cs="Corbel,Bold"/>
                <w:b/>
                <w:bCs/>
                <w:sz w:val="20"/>
                <w:szCs w:val="20"/>
              </w:rPr>
              <w:t xml:space="preserve">Costi aggiuntivi </w:t>
            </w:r>
            <w:r w:rsidRPr="00A32BDE">
              <w:rPr>
                <w:rFonts w:ascii="Corbel" w:hAnsi="Corbel" w:cs="Corbel"/>
                <w:sz w:val="20"/>
                <w:szCs w:val="20"/>
              </w:rPr>
              <w:t>– comprende costi che la scuola può richiedere. In particolare, per il presente avviso è possibile scegliere:</w:t>
            </w:r>
          </w:p>
          <w:p w:rsidR="00C31165" w:rsidRPr="00A32BDE" w:rsidRDefault="00C31165" w:rsidP="001E145F">
            <w:pPr>
              <w:autoSpaceDE w:val="0"/>
              <w:autoSpaceDN w:val="0"/>
              <w:adjustRightInd w:val="0"/>
              <w:ind w:left="171"/>
              <w:rPr>
                <w:rFonts w:ascii="Corbel" w:hAnsi="Corbel" w:cs="Corbel"/>
                <w:sz w:val="20"/>
                <w:szCs w:val="20"/>
              </w:rPr>
            </w:pPr>
            <w:r w:rsidRPr="00A32BDE">
              <w:rPr>
                <w:rFonts w:ascii="Corbel,Italic" w:hAnsi="Corbel,Italic" w:cs="Corbel,Italic"/>
                <w:i/>
                <w:iCs/>
                <w:sz w:val="20"/>
                <w:szCs w:val="20"/>
              </w:rPr>
              <w:t xml:space="preserve">a) </w:t>
            </w:r>
            <w:r w:rsidRPr="00A32BDE">
              <w:rPr>
                <w:rFonts w:ascii="Corbel" w:hAnsi="Corbel" w:cs="Corbel"/>
                <w:sz w:val="20"/>
                <w:szCs w:val="20"/>
              </w:rPr>
              <w:t>mensa</w:t>
            </w:r>
          </w:p>
        </w:tc>
        <w:tc>
          <w:tcPr>
            <w:tcW w:w="4814" w:type="dxa"/>
            <w:tcBorders>
              <w:top w:val="nil"/>
              <w:bottom w:val="nil"/>
            </w:tcBorders>
          </w:tcPr>
          <w:p w:rsidR="00C31165" w:rsidRPr="00A32BDE" w:rsidRDefault="00C31165" w:rsidP="001E145F">
            <w:pPr>
              <w:autoSpaceDE w:val="0"/>
              <w:autoSpaceDN w:val="0"/>
              <w:adjustRightInd w:val="0"/>
              <w:spacing w:after="120"/>
              <w:rPr>
                <w:rFonts w:ascii="Corbel" w:hAnsi="Corbel" w:cs="Corbel"/>
                <w:sz w:val="20"/>
                <w:szCs w:val="20"/>
              </w:rPr>
            </w:pPr>
            <w:r>
              <w:rPr>
                <w:rFonts w:ascii="Corbel" w:hAnsi="Corbel" w:cs="Corbel"/>
                <w:sz w:val="20"/>
                <w:szCs w:val="20"/>
              </w:rPr>
              <w:t xml:space="preserve">Il </w:t>
            </w:r>
            <w:r w:rsidRPr="00A32BDE">
              <w:rPr>
                <w:rFonts w:ascii="Corbel" w:hAnsi="Corbel" w:cs="Corbel"/>
                <w:sz w:val="20"/>
                <w:szCs w:val="20"/>
              </w:rPr>
              <w:t>costo aggiuntivo è calcolato in modo diverso secondo la voce di costo. In particolare:</w:t>
            </w:r>
          </w:p>
          <w:p w:rsidR="00C31165" w:rsidRPr="00A32BDE" w:rsidRDefault="00C31165" w:rsidP="001E145F">
            <w:pPr>
              <w:autoSpaceDE w:val="0"/>
              <w:autoSpaceDN w:val="0"/>
              <w:adjustRightInd w:val="0"/>
              <w:rPr>
                <w:rFonts w:ascii="Corbel" w:hAnsi="Corbel" w:cs="Corbel"/>
                <w:sz w:val="20"/>
                <w:szCs w:val="20"/>
              </w:rPr>
            </w:pPr>
            <w:r w:rsidRPr="00A32BDE">
              <w:rPr>
                <w:rFonts w:ascii="Corbel,Bold" w:hAnsi="Corbel,Bold" w:cs="Corbel,Bold"/>
                <w:b/>
                <w:bCs/>
                <w:sz w:val="20"/>
                <w:szCs w:val="20"/>
              </w:rPr>
              <w:t xml:space="preserve">Mensa: </w:t>
            </w:r>
            <w:r w:rsidRPr="00A32BDE">
              <w:rPr>
                <w:rFonts w:ascii="Corbel" w:hAnsi="Corbel" w:cs="Corbel"/>
                <w:sz w:val="20"/>
                <w:szCs w:val="20"/>
              </w:rPr>
              <w:t>Il costo della mensa può essere richiesto solo nel caso in cui la realizzazione del modulo prevede incontri pomeridiani di almeno tre ore.</w:t>
            </w:r>
          </w:p>
          <w:p w:rsidR="00C31165" w:rsidRPr="00210BD0" w:rsidRDefault="00C31165" w:rsidP="001E145F">
            <w:pPr>
              <w:autoSpaceDE w:val="0"/>
              <w:autoSpaceDN w:val="0"/>
              <w:adjustRightInd w:val="0"/>
              <w:rPr>
                <w:rFonts w:ascii="Corbel" w:hAnsi="Corbel" w:cs="Corbel"/>
                <w:sz w:val="20"/>
                <w:szCs w:val="20"/>
              </w:rPr>
            </w:pPr>
            <w:r w:rsidRPr="00A32BDE">
              <w:rPr>
                <w:rFonts w:ascii="Corbel" w:hAnsi="Corbel" w:cs="Corbel"/>
                <w:sz w:val="20"/>
                <w:szCs w:val="20"/>
              </w:rPr>
              <w:t xml:space="preserve">Il costo della mensa si ottiene moltiplicando il numero dei giorni di corso per allievo per € 7,00 a partecipante. </w:t>
            </w:r>
            <w:r w:rsidRPr="00210BD0">
              <w:rPr>
                <w:rFonts w:ascii="Corbel" w:hAnsi="Corbel" w:cs="Corbel"/>
                <w:sz w:val="20"/>
                <w:szCs w:val="20"/>
              </w:rPr>
              <w:t>Per la diversa durata dei corsi, solo nel caso di realizzazione pomeridiana, sono previste:</w:t>
            </w:r>
          </w:p>
          <w:p w:rsidR="00C31165" w:rsidRPr="00210BD0" w:rsidRDefault="00C31165" w:rsidP="001E145F">
            <w:pPr>
              <w:autoSpaceDE w:val="0"/>
              <w:autoSpaceDN w:val="0"/>
              <w:adjustRightInd w:val="0"/>
              <w:jc w:val="center"/>
              <w:rPr>
                <w:rFonts w:ascii="Corbel" w:hAnsi="Corbel" w:cs="Corbel"/>
                <w:sz w:val="20"/>
                <w:szCs w:val="20"/>
              </w:rPr>
            </w:pPr>
            <w:r w:rsidRPr="00210BD0">
              <w:rPr>
                <w:rFonts w:ascii="Corbel" w:hAnsi="Corbel" w:cs="Corbel"/>
                <w:sz w:val="20"/>
                <w:szCs w:val="20"/>
              </w:rPr>
              <w:t>10 giornate per il corso da 30/h</w:t>
            </w:r>
          </w:p>
          <w:p w:rsidR="00C31165" w:rsidRPr="00210BD0" w:rsidRDefault="00C31165" w:rsidP="001E145F">
            <w:pPr>
              <w:autoSpaceDE w:val="0"/>
              <w:autoSpaceDN w:val="0"/>
              <w:adjustRightInd w:val="0"/>
              <w:jc w:val="center"/>
              <w:rPr>
                <w:rFonts w:ascii="Corbel" w:hAnsi="Corbel" w:cs="Corbel"/>
                <w:sz w:val="20"/>
                <w:szCs w:val="20"/>
              </w:rPr>
            </w:pPr>
            <w:r w:rsidRPr="00210BD0">
              <w:rPr>
                <w:rFonts w:ascii="Corbel" w:hAnsi="Corbel" w:cs="Corbel"/>
                <w:sz w:val="20"/>
                <w:szCs w:val="20"/>
              </w:rPr>
              <w:t>20 giornate per il corso da 60/h</w:t>
            </w:r>
          </w:p>
          <w:p w:rsidR="00C31165" w:rsidRPr="00210BD0" w:rsidRDefault="00C31165" w:rsidP="001E145F">
            <w:pPr>
              <w:autoSpaceDE w:val="0"/>
              <w:autoSpaceDN w:val="0"/>
              <w:adjustRightInd w:val="0"/>
              <w:jc w:val="center"/>
              <w:rPr>
                <w:rFonts w:ascii="Corbel" w:hAnsi="Corbel" w:cs="Corbel"/>
                <w:sz w:val="20"/>
                <w:szCs w:val="20"/>
              </w:rPr>
            </w:pPr>
            <w:r w:rsidRPr="00210BD0">
              <w:rPr>
                <w:rFonts w:ascii="Corbel" w:hAnsi="Corbel" w:cs="Corbel"/>
                <w:sz w:val="20"/>
                <w:szCs w:val="20"/>
              </w:rPr>
              <w:t>34 giornate per il corso da 100/h</w:t>
            </w:r>
          </w:p>
          <w:p w:rsidR="00C31165" w:rsidRPr="00A32BDE" w:rsidRDefault="00C31165" w:rsidP="001E145F">
            <w:pPr>
              <w:autoSpaceDE w:val="0"/>
              <w:autoSpaceDN w:val="0"/>
              <w:adjustRightInd w:val="0"/>
              <w:rPr>
                <w:rFonts w:ascii="Corbel" w:hAnsi="Corbel" w:cs="Corbel"/>
                <w:sz w:val="20"/>
                <w:szCs w:val="20"/>
              </w:rPr>
            </w:pPr>
            <w:r w:rsidRPr="00210BD0">
              <w:rPr>
                <w:rFonts w:ascii="Corbel" w:hAnsi="Corbel" w:cs="Corbel"/>
                <w:sz w:val="20"/>
                <w:szCs w:val="20"/>
              </w:rPr>
              <w:t>[Es. un corso da 30/h prevede 10 gg di corso (30:3)</w:t>
            </w:r>
            <w:r>
              <w:rPr>
                <w:rFonts w:ascii="Corbel" w:hAnsi="Corbel" w:cs="Corbel"/>
                <w:sz w:val="20"/>
                <w:szCs w:val="20"/>
              </w:rPr>
              <w:t xml:space="preserve"> </w:t>
            </w:r>
            <w:r w:rsidRPr="00210BD0">
              <w:rPr>
                <w:rFonts w:ascii="Corbel" w:hAnsi="Corbel" w:cs="Corbel"/>
                <w:sz w:val="20"/>
                <w:szCs w:val="20"/>
              </w:rPr>
              <w:t xml:space="preserve">per cui si avrà 10*20 (numero </w:t>
            </w:r>
            <w:proofErr w:type="gramStart"/>
            <w:r w:rsidRPr="00210BD0">
              <w:rPr>
                <w:rFonts w:ascii="Corbel" w:hAnsi="Corbel" w:cs="Corbel"/>
                <w:sz w:val="20"/>
                <w:szCs w:val="20"/>
              </w:rPr>
              <w:t>allievi)*</w:t>
            </w:r>
            <w:proofErr w:type="gramEnd"/>
            <w:r w:rsidRPr="00210BD0">
              <w:rPr>
                <w:rFonts w:ascii="Corbel" w:hAnsi="Corbel" w:cs="Corbel"/>
                <w:sz w:val="20"/>
                <w:szCs w:val="20"/>
              </w:rPr>
              <w:t>7.00 per</w:t>
            </w:r>
            <w:r>
              <w:rPr>
                <w:rFonts w:ascii="Corbel" w:hAnsi="Corbel" w:cs="Corbel"/>
                <w:sz w:val="20"/>
                <w:szCs w:val="20"/>
              </w:rPr>
              <w:t xml:space="preserve"> </w:t>
            </w:r>
            <w:r w:rsidRPr="00210BD0">
              <w:rPr>
                <w:rFonts w:ascii="Corbel" w:hAnsi="Corbel" w:cs="Corbel"/>
                <w:sz w:val="20"/>
                <w:szCs w:val="20"/>
              </w:rPr>
              <w:t>allievo = €.1.400,00</w:t>
            </w:r>
          </w:p>
        </w:tc>
      </w:tr>
      <w:tr w:rsidR="00C31165" w:rsidRPr="00A32BDE" w:rsidTr="001E145F">
        <w:trPr>
          <w:trHeight w:val="1547"/>
          <w:jc w:val="center"/>
        </w:trPr>
        <w:tc>
          <w:tcPr>
            <w:tcW w:w="4814" w:type="dxa"/>
            <w:tcBorders>
              <w:top w:val="nil"/>
            </w:tcBorders>
          </w:tcPr>
          <w:p w:rsidR="00C31165" w:rsidRPr="00A32BDE" w:rsidRDefault="00C31165" w:rsidP="001E145F">
            <w:pPr>
              <w:autoSpaceDE w:val="0"/>
              <w:autoSpaceDN w:val="0"/>
              <w:adjustRightInd w:val="0"/>
              <w:ind w:left="313" w:hanging="313"/>
              <w:rPr>
                <w:rFonts w:ascii="Corbel" w:hAnsi="Corbel" w:cs="Corbel"/>
                <w:sz w:val="20"/>
                <w:szCs w:val="20"/>
              </w:rPr>
            </w:pPr>
            <w:r>
              <w:rPr>
                <w:rFonts w:ascii="Corbel,Italic" w:hAnsi="Corbel,Italic" w:cs="Corbel,Italic"/>
                <w:i/>
                <w:iCs/>
              </w:rPr>
              <w:t xml:space="preserve">b) </w:t>
            </w:r>
            <w:r>
              <w:rPr>
                <w:rFonts w:ascii="Corbel" w:hAnsi="Corbel" w:cs="Corbel"/>
              </w:rPr>
              <w:t>una o più figure professionali per bisogni specifici</w:t>
            </w:r>
          </w:p>
        </w:tc>
        <w:tc>
          <w:tcPr>
            <w:tcW w:w="4814" w:type="dxa"/>
            <w:tcBorders>
              <w:top w:val="nil"/>
            </w:tcBorders>
          </w:tcPr>
          <w:p w:rsidR="00C31165" w:rsidRDefault="00C31165" w:rsidP="001E145F">
            <w:pPr>
              <w:autoSpaceDE w:val="0"/>
              <w:autoSpaceDN w:val="0"/>
              <w:adjustRightInd w:val="0"/>
              <w:rPr>
                <w:rFonts w:ascii="Corbel" w:hAnsi="Corbel" w:cs="Corbel"/>
                <w:sz w:val="20"/>
                <w:szCs w:val="20"/>
              </w:rPr>
            </w:pPr>
            <w:r w:rsidRPr="00210BD0">
              <w:rPr>
                <w:rFonts w:ascii="Corbel" w:hAnsi="Corbel" w:cs="Corbel,Bold"/>
                <w:b/>
                <w:bCs/>
                <w:sz w:val="20"/>
                <w:szCs w:val="20"/>
              </w:rPr>
              <w:t xml:space="preserve">Figura aggiuntiva: </w:t>
            </w:r>
            <w:r w:rsidRPr="00210BD0">
              <w:rPr>
                <w:rFonts w:ascii="Corbel" w:hAnsi="Corbel" w:cs="Corbel"/>
                <w:sz w:val="20"/>
                <w:szCs w:val="20"/>
              </w:rPr>
              <w:t>il costo si ottiene calcolando che</w:t>
            </w:r>
            <w:r>
              <w:rPr>
                <w:rFonts w:ascii="Corbel" w:hAnsi="Corbel" w:cs="Corbel"/>
                <w:sz w:val="20"/>
                <w:szCs w:val="20"/>
              </w:rPr>
              <w:t xml:space="preserve"> </w:t>
            </w:r>
            <w:r w:rsidRPr="00210BD0">
              <w:rPr>
                <w:rFonts w:ascii="Corbel" w:hAnsi="Corbel" w:cs="Corbel"/>
                <w:sz w:val="20"/>
                <w:szCs w:val="20"/>
                <w:u w:val="single"/>
              </w:rPr>
              <w:t xml:space="preserve">ogni partecipante </w:t>
            </w:r>
            <w:r w:rsidRPr="00210BD0">
              <w:rPr>
                <w:rFonts w:ascii="Corbel" w:hAnsi="Corbel" w:cs="Corbel"/>
                <w:sz w:val="20"/>
                <w:szCs w:val="20"/>
              </w:rPr>
              <w:t>potrà usufruire di 1 ora, oltre il monte ore di formazione, con figure professionali individuate dagli istituti scolastici in relazione ai fabbisogni dei partecipanti. Il costo orario è quello previsto per il tutor (30 €).</w:t>
            </w:r>
          </w:p>
        </w:tc>
      </w:tr>
    </w:tbl>
    <w:p w:rsidR="00E643F7" w:rsidRPr="00E86E3A" w:rsidRDefault="00E643F7" w:rsidP="00E86E3A">
      <w:pPr>
        <w:autoSpaceDE w:val="0"/>
        <w:autoSpaceDN w:val="0"/>
        <w:adjustRightInd w:val="0"/>
        <w:spacing w:before="240" w:afterLines="60" w:after="144" w:line="240" w:lineRule="auto"/>
        <w:rPr>
          <w:rFonts w:cs="HelveticaNeue-Bold"/>
          <w:b/>
          <w:bCs/>
          <w:sz w:val="28"/>
          <w:szCs w:val="28"/>
        </w:rPr>
      </w:pPr>
      <w:r w:rsidRPr="00E86E3A">
        <w:rPr>
          <w:rFonts w:cs="HelveticaNeue-Bold"/>
          <w:b/>
          <w:bCs/>
          <w:sz w:val="28"/>
          <w:szCs w:val="28"/>
        </w:rPr>
        <w:t>2.1 Autodiagnosi</w:t>
      </w:r>
    </w:p>
    <w:p w:rsidR="00E643F7" w:rsidRPr="006D7F4C" w:rsidRDefault="00B4780F" w:rsidP="006D7F4C">
      <w:pPr>
        <w:autoSpaceDE w:val="0"/>
        <w:autoSpaceDN w:val="0"/>
        <w:adjustRightInd w:val="0"/>
        <w:spacing w:afterLines="60" w:after="144" w:line="240" w:lineRule="auto"/>
        <w:rPr>
          <w:rFonts w:cs="HelveticaNeue"/>
          <w:sz w:val="26"/>
          <w:szCs w:val="26"/>
        </w:rPr>
      </w:pPr>
      <w:r w:rsidRPr="006D7F4C">
        <w:rPr>
          <w:rFonts w:cs="HelveticaNeue-Bold"/>
          <w:b/>
          <w:bCs/>
          <w:sz w:val="26"/>
          <w:szCs w:val="26"/>
        </w:rPr>
        <w:t>2.1.1</w:t>
      </w:r>
      <w:r w:rsidR="00E643F7" w:rsidRPr="006D7F4C">
        <w:rPr>
          <w:rFonts w:cs="HelveticaNeue-Bold"/>
          <w:b/>
          <w:bCs/>
          <w:sz w:val="26"/>
          <w:szCs w:val="26"/>
        </w:rPr>
        <w:t xml:space="preserve">. </w:t>
      </w:r>
      <w:r w:rsidR="00E643F7" w:rsidRPr="006D7F4C">
        <w:rPr>
          <w:rFonts w:cs="HelveticaNeue"/>
          <w:sz w:val="26"/>
          <w:szCs w:val="26"/>
        </w:rPr>
        <w:t>“</w:t>
      </w:r>
      <w:r w:rsidR="00E643F7" w:rsidRPr="006D7F4C">
        <w:rPr>
          <w:rFonts w:cs="HelveticaNeue-Bold"/>
          <w:b/>
          <w:bCs/>
          <w:sz w:val="26"/>
          <w:szCs w:val="26"/>
        </w:rPr>
        <w:t>Aree di Processo</w:t>
      </w:r>
      <w:r w:rsidR="00E643F7" w:rsidRPr="006D7F4C">
        <w:rPr>
          <w:rFonts w:cs="HelveticaNeue"/>
          <w:sz w:val="26"/>
          <w:szCs w:val="26"/>
        </w:rPr>
        <w:t>”</w:t>
      </w:r>
    </w:p>
    <w:p w:rsidR="00377615" w:rsidRDefault="00377615" w:rsidP="006D7F4C">
      <w:pPr>
        <w:autoSpaceDE w:val="0"/>
        <w:autoSpaceDN w:val="0"/>
        <w:adjustRightInd w:val="0"/>
        <w:spacing w:afterLines="60" w:after="144" w:line="240" w:lineRule="auto"/>
      </w:pPr>
      <w:r>
        <w:t>In tale area la scuola deve indicare tutte le aree di processo individuate come obiettivi di miglioramento nell’ultimo RAV presentato (per le candidature da presentare nell’anno scolastico 2016/2017 le informazioni da inserire sono quelle presenti nel RAV di Giugno 2016).</w:t>
      </w:r>
    </w:p>
    <w:p w:rsidR="00E643F7" w:rsidRPr="006D7F4C" w:rsidRDefault="00B4780F" w:rsidP="006D7F4C">
      <w:pPr>
        <w:autoSpaceDE w:val="0"/>
        <w:autoSpaceDN w:val="0"/>
        <w:adjustRightInd w:val="0"/>
        <w:spacing w:afterLines="60" w:after="144" w:line="240" w:lineRule="auto"/>
        <w:rPr>
          <w:rFonts w:cs="HelveticaNeue-Bold"/>
          <w:b/>
          <w:bCs/>
          <w:sz w:val="26"/>
          <w:szCs w:val="26"/>
        </w:rPr>
      </w:pPr>
      <w:r w:rsidRPr="006D7F4C">
        <w:rPr>
          <w:rFonts w:cs="HelveticaNeue-Bold"/>
          <w:b/>
          <w:bCs/>
          <w:sz w:val="26"/>
          <w:szCs w:val="26"/>
        </w:rPr>
        <w:t>2.1.</w:t>
      </w:r>
      <w:r w:rsidR="00377615">
        <w:rPr>
          <w:rFonts w:cs="HelveticaNeue-Bold"/>
          <w:b/>
          <w:bCs/>
          <w:sz w:val="26"/>
          <w:szCs w:val="26"/>
        </w:rPr>
        <w:t>2</w:t>
      </w:r>
      <w:r w:rsidRPr="006D7F4C">
        <w:rPr>
          <w:rFonts w:cs="HelveticaNeue-Bold"/>
          <w:b/>
          <w:bCs/>
          <w:sz w:val="26"/>
          <w:szCs w:val="26"/>
        </w:rPr>
        <w:t xml:space="preserve">. </w:t>
      </w:r>
      <w:r w:rsidR="00E643F7" w:rsidRPr="006D7F4C">
        <w:rPr>
          <w:rFonts w:cs="HelveticaNeue-Bold"/>
          <w:b/>
          <w:bCs/>
          <w:sz w:val="26"/>
          <w:szCs w:val="26"/>
        </w:rPr>
        <w:t xml:space="preserve"> “Sotto azioni e Risultati attesi”</w:t>
      </w:r>
    </w:p>
    <w:p w:rsidR="00E643F7" w:rsidRPr="00B87343" w:rsidRDefault="00E643F7" w:rsidP="00E86E3A">
      <w:pPr>
        <w:autoSpaceDE w:val="0"/>
        <w:autoSpaceDN w:val="0"/>
        <w:adjustRightInd w:val="0"/>
        <w:spacing w:afterLines="60" w:after="144" w:line="240" w:lineRule="auto"/>
        <w:ind w:left="709"/>
        <w:rPr>
          <w:rFonts w:cs="HelveticaNeue"/>
        </w:rPr>
      </w:pPr>
      <w:r w:rsidRPr="00B87343">
        <w:rPr>
          <w:rFonts w:cs="HelveticaNeue"/>
        </w:rPr>
        <w:t>In questa sezione la scuola deve indicare:</w:t>
      </w:r>
    </w:p>
    <w:p w:rsidR="00E643F7" w:rsidRPr="00536B62" w:rsidRDefault="00E643F7" w:rsidP="008A2214">
      <w:pPr>
        <w:pStyle w:val="Paragrafoelenco"/>
        <w:numPr>
          <w:ilvl w:val="0"/>
          <w:numId w:val="3"/>
        </w:numPr>
        <w:autoSpaceDE w:val="0"/>
        <w:autoSpaceDN w:val="0"/>
        <w:adjustRightInd w:val="0"/>
        <w:spacing w:afterLines="60" w:after="144" w:line="240" w:lineRule="auto"/>
        <w:ind w:left="1134" w:hanging="283"/>
        <w:rPr>
          <w:rFonts w:cs="HelveticaNeue"/>
        </w:rPr>
      </w:pPr>
      <w:proofErr w:type="gramStart"/>
      <w:r w:rsidRPr="00536B62">
        <w:rPr>
          <w:rFonts w:cs="HelveticaNeue"/>
        </w:rPr>
        <w:t>quali</w:t>
      </w:r>
      <w:proofErr w:type="gramEnd"/>
      <w:r w:rsidRPr="00536B62">
        <w:rPr>
          <w:rFonts w:cs="HelveticaNeue"/>
        </w:rPr>
        <w:t xml:space="preserve"> fra le Aree di processo precedentemente indicate intende associare alla sotto</w:t>
      </w:r>
      <w:r w:rsidR="00B4780F" w:rsidRPr="00536B62">
        <w:rPr>
          <w:rFonts w:cs="HelveticaNeue"/>
        </w:rPr>
        <w:t xml:space="preserve"> </w:t>
      </w:r>
      <w:r w:rsidRPr="00536B62">
        <w:rPr>
          <w:rFonts w:cs="HelveticaNeue"/>
        </w:rPr>
        <w:t>azione scelta (</w:t>
      </w:r>
      <w:r w:rsidRPr="00536B62">
        <w:rPr>
          <w:rFonts w:cs="HelveticaNeue-Bold"/>
          <w:b/>
          <w:bCs/>
        </w:rPr>
        <w:t>Associa Aree di processo</w:t>
      </w:r>
      <w:r w:rsidRPr="00536B62">
        <w:rPr>
          <w:rFonts w:cs="HelveticaNeue"/>
        </w:rPr>
        <w:t>);</w:t>
      </w:r>
      <w:r w:rsidR="009B396F" w:rsidRPr="00536B62">
        <w:rPr>
          <w:rFonts w:cs="HelveticaNeue"/>
        </w:rPr>
        <w:br/>
      </w:r>
      <w:r w:rsidR="00B4780F" w:rsidRPr="00536B62">
        <w:rPr>
          <w:rFonts w:cs="HelveticaNeue"/>
        </w:rPr>
        <w:lastRenderedPageBreak/>
        <w:t>2</w:t>
      </w:r>
      <w:r w:rsidRPr="00536B62">
        <w:rPr>
          <w:rFonts w:cs="HelveticaNeue"/>
        </w:rPr>
        <w:t>. i risultati che intende raggiungere con il progetto, scegliendo tra quelli strutturati proposti dal sistema (</w:t>
      </w:r>
      <w:r w:rsidRPr="00536B62">
        <w:rPr>
          <w:rFonts w:cs="HelveticaNeue-Bold"/>
          <w:b/>
          <w:bCs/>
        </w:rPr>
        <w:t>Associa Risultati attesi</w:t>
      </w:r>
      <w:r w:rsidRPr="00536B62">
        <w:rPr>
          <w:rFonts w:cs="HelveticaNeue"/>
        </w:rPr>
        <w:t>).</w:t>
      </w:r>
    </w:p>
    <w:p w:rsidR="005835D1" w:rsidRPr="00E86E3A" w:rsidRDefault="00E643F7" w:rsidP="00E86E3A">
      <w:pPr>
        <w:autoSpaceDE w:val="0"/>
        <w:autoSpaceDN w:val="0"/>
        <w:adjustRightInd w:val="0"/>
        <w:spacing w:before="240" w:afterLines="60" w:after="144" w:line="240" w:lineRule="auto"/>
        <w:rPr>
          <w:rFonts w:cs="HelveticaNeue-Bold"/>
          <w:b/>
          <w:bCs/>
          <w:sz w:val="28"/>
          <w:szCs w:val="28"/>
        </w:rPr>
      </w:pPr>
      <w:r w:rsidRPr="00E86E3A">
        <w:rPr>
          <w:rFonts w:cs="HelveticaNeue-Bold"/>
          <w:b/>
          <w:bCs/>
          <w:sz w:val="28"/>
          <w:szCs w:val="28"/>
        </w:rPr>
        <w:t>2.2. Progetti</w:t>
      </w:r>
    </w:p>
    <w:p w:rsidR="00E643F7" w:rsidRPr="00B87343" w:rsidRDefault="00E643F7" w:rsidP="00E86E3A">
      <w:pPr>
        <w:autoSpaceDE w:val="0"/>
        <w:autoSpaceDN w:val="0"/>
        <w:adjustRightInd w:val="0"/>
        <w:spacing w:afterLines="60" w:after="144" w:line="240" w:lineRule="auto"/>
        <w:ind w:left="284"/>
        <w:rPr>
          <w:rFonts w:cs="HelveticaNeue"/>
        </w:rPr>
      </w:pPr>
      <w:r w:rsidRPr="00B87343">
        <w:rPr>
          <w:rFonts w:cs="HelveticaNeue"/>
        </w:rPr>
        <w:t>Selezionare azione 10.2.2 “Competenze di base”.</w:t>
      </w:r>
    </w:p>
    <w:p w:rsidR="00E643F7" w:rsidRPr="006D7F4C" w:rsidRDefault="00E643F7" w:rsidP="006D7F4C">
      <w:pPr>
        <w:autoSpaceDE w:val="0"/>
        <w:autoSpaceDN w:val="0"/>
        <w:adjustRightInd w:val="0"/>
        <w:spacing w:afterLines="60" w:after="144" w:line="240" w:lineRule="auto"/>
        <w:rPr>
          <w:rFonts w:cs="HelveticaNeue-Bold"/>
          <w:b/>
          <w:bCs/>
          <w:sz w:val="26"/>
          <w:szCs w:val="26"/>
        </w:rPr>
      </w:pPr>
      <w:r w:rsidRPr="006D7F4C">
        <w:rPr>
          <w:rFonts w:cs="HelveticaNeue-Bold"/>
          <w:b/>
          <w:bCs/>
          <w:sz w:val="26"/>
          <w:szCs w:val="26"/>
        </w:rPr>
        <w:t>2.2.1 Progetto</w:t>
      </w:r>
    </w:p>
    <w:p w:rsidR="00E643F7" w:rsidRPr="00B87343" w:rsidRDefault="00E643F7" w:rsidP="00E86E3A">
      <w:pPr>
        <w:autoSpaceDE w:val="0"/>
        <w:autoSpaceDN w:val="0"/>
        <w:adjustRightInd w:val="0"/>
        <w:spacing w:afterLines="60" w:after="144" w:line="240" w:lineRule="auto"/>
        <w:ind w:left="284"/>
        <w:rPr>
          <w:rFonts w:cs="HelveticaNeue"/>
        </w:rPr>
      </w:pPr>
      <w:r w:rsidRPr="00B87343">
        <w:rPr>
          <w:rFonts w:cs="HelveticaNeue"/>
        </w:rPr>
        <w:t>Avviso/Azione/</w:t>
      </w:r>
      <w:proofErr w:type="spellStart"/>
      <w:r w:rsidRPr="00B87343">
        <w:rPr>
          <w:rFonts w:cs="HelveticaNeue"/>
        </w:rPr>
        <w:t>Sottoazione</w:t>
      </w:r>
      <w:proofErr w:type="spellEnd"/>
      <w:r w:rsidRPr="00B87343">
        <w:rPr>
          <w:rFonts w:cs="HelveticaNeue"/>
        </w:rPr>
        <w:t>: 10.2.2 Competenze di base / 10.2.2 A Competenze di base</w:t>
      </w:r>
    </w:p>
    <w:p w:rsidR="00E643F7" w:rsidRPr="000D6081" w:rsidRDefault="00E643F7" w:rsidP="00E86E3A">
      <w:pPr>
        <w:autoSpaceDE w:val="0"/>
        <w:autoSpaceDN w:val="0"/>
        <w:adjustRightInd w:val="0"/>
        <w:spacing w:afterLines="60" w:after="144" w:line="240" w:lineRule="auto"/>
        <w:ind w:left="284"/>
        <w:rPr>
          <w:rFonts w:cs="HelveticaNeue"/>
          <w:color w:val="70AD47" w:themeColor="accent6"/>
        </w:rPr>
      </w:pPr>
      <w:r w:rsidRPr="00B87343">
        <w:rPr>
          <w:rFonts w:cs="HelveticaNeue"/>
        </w:rPr>
        <w:t xml:space="preserve">Titolo: </w:t>
      </w:r>
      <w:r w:rsidR="000D6081" w:rsidRPr="000D6081">
        <w:rPr>
          <w:b/>
          <w:i/>
          <w:smallCaps/>
          <w:color w:val="70AD47" w:themeColor="accent6"/>
          <w:sz w:val="24"/>
        </w:rPr>
        <w:t xml:space="preserve">Alfabetizzazione Informatica – Corso di preparazione alla certificazione </w:t>
      </w:r>
      <w:r w:rsidR="00522EF3">
        <w:rPr>
          <w:b/>
          <w:i/>
          <w:smallCaps/>
          <w:color w:val="70AD47" w:themeColor="accent6"/>
          <w:sz w:val="24"/>
        </w:rPr>
        <w:t>EIPASS</w:t>
      </w:r>
      <w:r w:rsidR="000D6081" w:rsidRPr="000D6081">
        <w:rPr>
          <w:b/>
          <w:i/>
          <w:smallCaps/>
          <w:color w:val="70AD47" w:themeColor="accent6"/>
          <w:sz w:val="24"/>
        </w:rPr>
        <w:t xml:space="preserve"> livello </w:t>
      </w:r>
      <w:r w:rsidR="00522EF3">
        <w:rPr>
          <w:b/>
          <w:i/>
          <w:smallCaps/>
          <w:color w:val="70AD47" w:themeColor="accent6"/>
          <w:sz w:val="24"/>
        </w:rPr>
        <w:t>Basic</w:t>
      </w:r>
    </w:p>
    <w:p w:rsidR="00E643F7" w:rsidRDefault="00E643F7" w:rsidP="00E86E3A">
      <w:pPr>
        <w:autoSpaceDE w:val="0"/>
        <w:autoSpaceDN w:val="0"/>
        <w:adjustRightInd w:val="0"/>
        <w:spacing w:before="120" w:afterLines="60" w:after="144" w:line="240" w:lineRule="auto"/>
        <w:ind w:left="1418" w:hanging="1134"/>
        <w:rPr>
          <w:rFonts w:cs="HelveticaNeue"/>
          <w:color w:val="70AD47" w:themeColor="accent6"/>
        </w:rPr>
      </w:pPr>
      <w:r w:rsidRPr="00B87343">
        <w:rPr>
          <w:rFonts w:cs="HelveticaNeue"/>
        </w:rPr>
        <w:t>Descrizione</w:t>
      </w:r>
      <w:r w:rsidRPr="00B87343">
        <w:rPr>
          <w:rFonts w:cs="HelveticaNeue"/>
          <w:color w:val="70AD47" w:themeColor="accent6"/>
        </w:rPr>
        <w:t xml:space="preserve">: </w:t>
      </w:r>
      <w:r w:rsidR="002C0933" w:rsidRPr="00B87343">
        <w:rPr>
          <w:rFonts w:cs="HelveticaNeue"/>
          <w:color w:val="70AD47" w:themeColor="accent6"/>
        </w:rPr>
        <w:t xml:space="preserve">Progetto indirizzato </w:t>
      </w:r>
      <w:r w:rsidR="000D6081">
        <w:rPr>
          <w:rFonts w:cs="HelveticaNeue"/>
          <w:color w:val="70AD47" w:themeColor="accent6"/>
        </w:rPr>
        <w:t>alla conoscenza degli strumenti informatico di base ed al loro utilizzo corretto. Il corso verrà realizzato in forma laboratoriale con l’ausilio di strumenti informatici e di LIM per una didattica attiva</w:t>
      </w:r>
      <w:r w:rsidR="00573559">
        <w:rPr>
          <w:rFonts w:cs="HelveticaNeue"/>
          <w:color w:val="70AD47" w:themeColor="accent6"/>
        </w:rPr>
        <w:t xml:space="preserve"> e finalizzato alla preparazione ad una certificazione che resterà come bagaglio culturale degli studenti</w:t>
      </w:r>
      <w:r w:rsidR="000D6081">
        <w:rPr>
          <w:rFonts w:cs="HelveticaNeue"/>
          <w:color w:val="70AD47" w:themeColor="accent6"/>
        </w:rPr>
        <w:t>.</w:t>
      </w:r>
    </w:p>
    <w:p w:rsidR="00E643F7" w:rsidRPr="006D7F4C" w:rsidRDefault="00E643F7" w:rsidP="00BE6289">
      <w:pPr>
        <w:autoSpaceDE w:val="0"/>
        <w:autoSpaceDN w:val="0"/>
        <w:adjustRightInd w:val="0"/>
        <w:spacing w:before="120" w:afterLines="60" w:after="144" w:line="240" w:lineRule="auto"/>
        <w:ind w:left="1418" w:hanging="1134"/>
        <w:rPr>
          <w:rFonts w:cs="HelveticaNeue-Bold"/>
          <w:b/>
          <w:bCs/>
          <w:sz w:val="26"/>
          <w:szCs w:val="26"/>
        </w:rPr>
      </w:pPr>
      <w:r w:rsidRPr="006D7F4C">
        <w:rPr>
          <w:rFonts w:cs="HelveticaNeue-Bold"/>
          <w:b/>
          <w:bCs/>
          <w:sz w:val="26"/>
          <w:szCs w:val="26"/>
        </w:rPr>
        <w:t>2.2.2 Caratteristiche del Progetto</w:t>
      </w:r>
    </w:p>
    <w:p w:rsidR="00E643F7" w:rsidRPr="00B87343" w:rsidRDefault="00E643F7" w:rsidP="00E86E3A">
      <w:pPr>
        <w:autoSpaceDE w:val="0"/>
        <w:autoSpaceDN w:val="0"/>
        <w:adjustRightInd w:val="0"/>
        <w:spacing w:before="40" w:afterLines="60" w:after="144" w:line="240" w:lineRule="auto"/>
        <w:ind w:left="284"/>
        <w:rPr>
          <w:rFonts w:cs="HelveticaNeue"/>
        </w:rPr>
      </w:pPr>
      <w:r w:rsidRPr="00B87343">
        <w:rPr>
          <w:rFonts w:cs="HelveticaNeue"/>
        </w:rPr>
        <w:t xml:space="preserve">1. </w:t>
      </w:r>
      <w:r w:rsidRPr="00B87343">
        <w:rPr>
          <w:rFonts w:cs="HelveticaNeue-Bold"/>
          <w:b/>
          <w:bCs/>
        </w:rPr>
        <w:t>Contesto di riferimento</w:t>
      </w:r>
      <w:r w:rsidRPr="00B87343">
        <w:rPr>
          <w:rFonts w:cs="HelveticaNeue"/>
        </w:rPr>
        <w:t>:</w:t>
      </w:r>
    </w:p>
    <w:p w:rsidR="00E643F7" w:rsidRPr="00B87343" w:rsidRDefault="005B0EB8" w:rsidP="00E86E3A">
      <w:pPr>
        <w:autoSpaceDE w:val="0"/>
        <w:autoSpaceDN w:val="0"/>
        <w:adjustRightInd w:val="0"/>
        <w:spacing w:afterLines="60" w:after="144" w:line="240" w:lineRule="auto"/>
        <w:ind w:left="709"/>
        <w:rPr>
          <w:rFonts w:cs="HelveticaNeue"/>
        </w:rPr>
      </w:pPr>
      <w:r w:rsidRPr="00B87343">
        <w:rPr>
          <w:rFonts w:cs="HelveticaNeue"/>
        </w:rPr>
        <w:t xml:space="preserve">A </w:t>
      </w:r>
      <w:r w:rsidR="00E643F7" w:rsidRPr="00B87343">
        <w:rPr>
          <w:rFonts w:cs="HelveticaNeue"/>
        </w:rPr>
        <w:t>cura della scuola.</w:t>
      </w:r>
    </w:p>
    <w:p w:rsidR="00E643F7" w:rsidRPr="00B87343" w:rsidRDefault="00E643F7" w:rsidP="00E86E3A">
      <w:pPr>
        <w:autoSpaceDE w:val="0"/>
        <w:autoSpaceDN w:val="0"/>
        <w:adjustRightInd w:val="0"/>
        <w:spacing w:before="40" w:afterLines="60" w:after="144" w:line="240" w:lineRule="auto"/>
        <w:ind w:left="284"/>
        <w:rPr>
          <w:rFonts w:cs="HelveticaNeue"/>
        </w:rPr>
      </w:pPr>
      <w:r w:rsidRPr="00B87343">
        <w:rPr>
          <w:rFonts w:cs="HelveticaNeue"/>
        </w:rPr>
        <w:t xml:space="preserve">2. </w:t>
      </w:r>
      <w:r w:rsidRPr="00B87343">
        <w:rPr>
          <w:rFonts w:cs="HelveticaNeue-Bold"/>
          <w:b/>
          <w:bCs/>
        </w:rPr>
        <w:t>Obiettivi del progetto</w:t>
      </w:r>
      <w:r w:rsidRPr="00B87343">
        <w:rPr>
          <w:rFonts w:cs="HelveticaNeue"/>
        </w:rPr>
        <w:t>:</w:t>
      </w:r>
    </w:p>
    <w:p w:rsidR="00E643F7" w:rsidRPr="00816BE1" w:rsidRDefault="00816BE1" w:rsidP="003F0DFE">
      <w:pPr>
        <w:autoSpaceDE w:val="0"/>
        <w:autoSpaceDN w:val="0"/>
        <w:adjustRightInd w:val="0"/>
        <w:spacing w:after="0" w:line="240" w:lineRule="auto"/>
        <w:ind w:left="426"/>
        <w:rPr>
          <w:rFonts w:cs="HelveticaNeue"/>
          <w:color w:val="70AD47" w:themeColor="accent6"/>
        </w:rPr>
      </w:pPr>
      <w:r w:rsidRPr="00816BE1">
        <w:rPr>
          <w:rFonts w:cs="HelveticaNeue"/>
          <w:color w:val="70AD47" w:themeColor="accent6"/>
        </w:rPr>
        <w:t xml:space="preserve">Rafforzare le competenze digitali </w:t>
      </w:r>
      <w:r w:rsidR="000D3FA6">
        <w:rPr>
          <w:rFonts w:cs="HelveticaNeue"/>
          <w:color w:val="70AD47" w:themeColor="accent6"/>
        </w:rPr>
        <w:t xml:space="preserve">e sviluppare la creatività degli studenti facendogli </w:t>
      </w:r>
      <w:r w:rsidR="00BE6289">
        <w:rPr>
          <w:rFonts w:cs="HelveticaNeue"/>
          <w:color w:val="70AD47" w:themeColor="accent6"/>
        </w:rPr>
        <w:t xml:space="preserve">acquisire le competenze informatiche di base. </w:t>
      </w:r>
    </w:p>
    <w:p w:rsidR="00E643F7" w:rsidRPr="00B87343" w:rsidRDefault="00E643F7" w:rsidP="00E86E3A">
      <w:pPr>
        <w:autoSpaceDE w:val="0"/>
        <w:autoSpaceDN w:val="0"/>
        <w:adjustRightInd w:val="0"/>
        <w:spacing w:before="40" w:afterLines="60" w:after="144" w:line="240" w:lineRule="auto"/>
        <w:ind w:left="284"/>
        <w:rPr>
          <w:rFonts w:cs="HelveticaNeue"/>
        </w:rPr>
      </w:pPr>
      <w:r w:rsidRPr="00B87343">
        <w:rPr>
          <w:rFonts w:cs="HelveticaNeue"/>
        </w:rPr>
        <w:t xml:space="preserve">3. </w:t>
      </w:r>
      <w:r w:rsidRPr="00B87343">
        <w:rPr>
          <w:rFonts w:cs="HelveticaNeue-Bold"/>
          <w:b/>
          <w:bCs/>
        </w:rPr>
        <w:t>Caratteristiche dei destinatari</w:t>
      </w:r>
      <w:r w:rsidRPr="00B87343">
        <w:rPr>
          <w:rFonts w:cs="HelveticaNeue"/>
        </w:rPr>
        <w:t>:</w:t>
      </w:r>
    </w:p>
    <w:p w:rsidR="00E643F7" w:rsidRPr="003F0DFE" w:rsidRDefault="003F0DFE" w:rsidP="003F0DFE">
      <w:pPr>
        <w:autoSpaceDE w:val="0"/>
        <w:autoSpaceDN w:val="0"/>
        <w:adjustRightInd w:val="0"/>
        <w:spacing w:after="0" w:line="240" w:lineRule="auto"/>
        <w:ind w:left="426"/>
        <w:rPr>
          <w:rFonts w:cs="HelveticaNeue"/>
          <w:color w:val="70AD47" w:themeColor="accent6"/>
        </w:rPr>
      </w:pPr>
      <w:r>
        <w:rPr>
          <w:rFonts w:cs="HelveticaNeue"/>
          <w:color w:val="70AD47" w:themeColor="accent6"/>
        </w:rPr>
        <w:t>Il</w:t>
      </w:r>
      <w:r w:rsidRPr="003F0DFE">
        <w:rPr>
          <w:rFonts w:cs="HelveticaNeue"/>
          <w:color w:val="70AD47" w:themeColor="accent6"/>
        </w:rPr>
        <w:t xml:space="preserve"> corso sarà rivolto a studenti </w:t>
      </w:r>
      <w:r w:rsidR="00511A63">
        <w:rPr>
          <w:rFonts w:cs="HelveticaNeue"/>
          <w:color w:val="70AD47" w:themeColor="accent6"/>
        </w:rPr>
        <w:t xml:space="preserve">della scuola </w:t>
      </w:r>
      <w:r w:rsidR="00511A63" w:rsidRPr="00A4356C">
        <w:rPr>
          <w:rFonts w:cs="HelveticaNeue"/>
          <w:color w:val="70AD47" w:themeColor="accent6"/>
        </w:rPr>
        <w:t>secondaria</w:t>
      </w:r>
      <w:r w:rsidR="00511A63" w:rsidRPr="00A4356C">
        <w:rPr>
          <w:rFonts w:cs="HelveticaNeue"/>
          <w:i/>
          <w:color w:val="70AD47" w:themeColor="accent6"/>
        </w:rPr>
        <w:t xml:space="preserve"> </w:t>
      </w:r>
      <w:r w:rsidRPr="00A4356C">
        <w:rPr>
          <w:rFonts w:cs="HelveticaNeue"/>
          <w:i/>
          <w:color w:val="70AD47" w:themeColor="accent6"/>
        </w:rPr>
        <w:t xml:space="preserve">del </w:t>
      </w:r>
      <w:r w:rsidR="00341D7B">
        <w:rPr>
          <w:rFonts w:cs="HelveticaNeue"/>
          <w:i/>
          <w:color w:val="70AD47" w:themeColor="accent6"/>
        </w:rPr>
        <w:t>I</w:t>
      </w:r>
      <w:r w:rsidR="00A4356C" w:rsidRPr="00A4356C">
        <w:rPr>
          <w:rFonts w:cs="HelveticaNeue"/>
          <w:i/>
          <w:color w:val="70AD47" w:themeColor="accent6"/>
        </w:rPr>
        <w:t>/</w:t>
      </w:r>
      <w:r w:rsidR="00511A63" w:rsidRPr="00A4356C">
        <w:rPr>
          <w:rFonts w:cs="HelveticaNeue"/>
          <w:i/>
          <w:color w:val="70AD47" w:themeColor="accent6"/>
        </w:rPr>
        <w:t>del</w:t>
      </w:r>
      <w:r w:rsidR="00BE6289" w:rsidRPr="00A4356C">
        <w:rPr>
          <w:rFonts w:cs="HelveticaNeue"/>
          <w:i/>
          <w:color w:val="70AD47" w:themeColor="accent6"/>
        </w:rPr>
        <w:t xml:space="preserve"> </w:t>
      </w:r>
      <w:r w:rsidRPr="00A4356C">
        <w:rPr>
          <w:rFonts w:cs="HelveticaNeue"/>
          <w:i/>
          <w:color w:val="70AD47" w:themeColor="accent6"/>
        </w:rPr>
        <w:t>II ciclo</w:t>
      </w:r>
      <w:r w:rsidRPr="003F0DFE">
        <w:rPr>
          <w:rFonts w:cs="HelveticaNeue"/>
          <w:color w:val="70AD47" w:themeColor="accent6"/>
        </w:rPr>
        <w:t xml:space="preserve"> di istruzione e sarà preceduto da un’analisi </w:t>
      </w:r>
      <w:r w:rsidR="00BE6289">
        <w:rPr>
          <w:rFonts w:cs="HelveticaNeue"/>
          <w:color w:val="70AD47" w:themeColor="accent6"/>
        </w:rPr>
        <w:t xml:space="preserve">delle </w:t>
      </w:r>
      <w:r w:rsidR="00E238EB">
        <w:rPr>
          <w:rFonts w:cs="HelveticaNeue"/>
          <w:color w:val="70AD47" w:themeColor="accent6"/>
        </w:rPr>
        <w:t>competenze</w:t>
      </w:r>
      <w:r w:rsidR="004F15EF">
        <w:rPr>
          <w:rFonts w:cs="HelveticaNeue"/>
          <w:color w:val="70AD47" w:themeColor="accent6"/>
        </w:rPr>
        <w:t xml:space="preserve"> utilizzando una piattaforma didattica digitale</w:t>
      </w:r>
      <w:r w:rsidR="00E238EB">
        <w:rPr>
          <w:rFonts w:cs="HelveticaNeue"/>
          <w:color w:val="70AD47" w:themeColor="accent6"/>
        </w:rPr>
        <w:t xml:space="preserve">. </w:t>
      </w:r>
    </w:p>
    <w:p w:rsidR="00E643F7" w:rsidRPr="00B87343" w:rsidRDefault="00E643F7" w:rsidP="00E86E3A">
      <w:pPr>
        <w:autoSpaceDE w:val="0"/>
        <w:autoSpaceDN w:val="0"/>
        <w:adjustRightInd w:val="0"/>
        <w:spacing w:before="40" w:afterLines="60" w:after="144" w:line="240" w:lineRule="auto"/>
        <w:ind w:left="284"/>
        <w:rPr>
          <w:rFonts w:cs="HelveticaNeue"/>
        </w:rPr>
      </w:pPr>
      <w:r w:rsidRPr="00B87343">
        <w:rPr>
          <w:rFonts w:cs="HelveticaNeue"/>
        </w:rPr>
        <w:t xml:space="preserve">4. </w:t>
      </w:r>
      <w:r w:rsidRPr="00B87343">
        <w:rPr>
          <w:rFonts w:cs="HelveticaNeue-Bold"/>
          <w:b/>
          <w:bCs/>
        </w:rPr>
        <w:t>Apertura della scuola oltre l’orario</w:t>
      </w:r>
      <w:r w:rsidRPr="00B87343">
        <w:rPr>
          <w:rFonts w:cs="HelveticaNeue"/>
        </w:rPr>
        <w:t>:</w:t>
      </w:r>
    </w:p>
    <w:p w:rsidR="00D27087" w:rsidRDefault="00341D7B" w:rsidP="003F0DFE">
      <w:pPr>
        <w:autoSpaceDE w:val="0"/>
        <w:autoSpaceDN w:val="0"/>
        <w:adjustRightInd w:val="0"/>
        <w:spacing w:after="0" w:line="240" w:lineRule="auto"/>
        <w:ind w:left="426"/>
        <w:rPr>
          <w:rFonts w:cs="HelveticaNeue"/>
          <w:color w:val="70AD47" w:themeColor="accent6"/>
        </w:rPr>
      </w:pPr>
      <w:r w:rsidRPr="003F0DFE">
        <w:rPr>
          <w:rFonts w:cs="HelveticaNeue"/>
          <w:color w:val="70AD47" w:themeColor="accent6"/>
        </w:rPr>
        <w:t xml:space="preserve">Orario </w:t>
      </w:r>
      <w:r w:rsidR="00E643F7" w:rsidRPr="003F0DFE">
        <w:rPr>
          <w:rFonts w:cs="HelveticaNeue"/>
          <w:color w:val="70AD47" w:themeColor="accent6"/>
        </w:rPr>
        <w:t>extracurricolare sulla base del calendario stabilito dalla stessa.</w:t>
      </w:r>
    </w:p>
    <w:p w:rsidR="00E643F7" w:rsidRPr="00B87343" w:rsidRDefault="00E643F7" w:rsidP="00E86E3A">
      <w:pPr>
        <w:autoSpaceDE w:val="0"/>
        <w:autoSpaceDN w:val="0"/>
        <w:adjustRightInd w:val="0"/>
        <w:spacing w:before="40" w:afterLines="60" w:after="144" w:line="240" w:lineRule="auto"/>
        <w:ind w:left="284"/>
        <w:rPr>
          <w:rFonts w:cs="HelveticaNeue"/>
        </w:rPr>
      </w:pPr>
      <w:r w:rsidRPr="00B87343">
        <w:rPr>
          <w:rFonts w:cs="HelveticaNeue"/>
        </w:rPr>
        <w:t xml:space="preserve">5. </w:t>
      </w:r>
      <w:r w:rsidRPr="00B87343">
        <w:rPr>
          <w:rFonts w:cs="HelveticaNeue-Bold"/>
          <w:b/>
          <w:bCs/>
        </w:rPr>
        <w:t>Coinvolgimento del territorio in termini di partenariati e collaborazioni</w:t>
      </w:r>
      <w:r w:rsidRPr="00B87343">
        <w:rPr>
          <w:rFonts w:cs="HelveticaNeue"/>
        </w:rPr>
        <w:t>:</w:t>
      </w:r>
    </w:p>
    <w:p w:rsidR="00E643F7" w:rsidRPr="00B06A2D" w:rsidRDefault="00E643F7" w:rsidP="00E86E3A">
      <w:pPr>
        <w:autoSpaceDE w:val="0"/>
        <w:autoSpaceDN w:val="0"/>
        <w:adjustRightInd w:val="0"/>
        <w:spacing w:afterLines="60" w:after="144" w:line="240" w:lineRule="auto"/>
        <w:ind w:left="709"/>
        <w:rPr>
          <w:rFonts w:cs="HelveticaNeue"/>
          <w:color w:val="70AD47" w:themeColor="accent6"/>
        </w:rPr>
      </w:pPr>
      <w:r w:rsidRPr="00B06A2D">
        <w:rPr>
          <w:rFonts w:cs="HelveticaNeue"/>
          <w:color w:val="70AD47" w:themeColor="accent6"/>
        </w:rPr>
        <w:t>Si intende avviare un partenariato e una collaborazione con ente</w:t>
      </w:r>
      <w:r w:rsidR="00FE5656" w:rsidRPr="00B06A2D">
        <w:rPr>
          <w:rFonts w:cs="HelveticaNeue"/>
          <w:color w:val="70AD47" w:themeColor="accent6"/>
        </w:rPr>
        <w:t xml:space="preserve"> </w:t>
      </w:r>
      <w:r w:rsidRPr="00B06A2D">
        <w:rPr>
          <w:rFonts w:cs="HelveticaNeue"/>
          <w:color w:val="70AD47" w:themeColor="accent6"/>
        </w:rPr>
        <w:t xml:space="preserve">giuridico </w:t>
      </w:r>
      <w:r w:rsidR="00B06A2D">
        <w:rPr>
          <w:rFonts w:cs="HelveticaNeue"/>
          <w:color w:val="70AD47" w:themeColor="accent6"/>
        </w:rPr>
        <w:t>in grado</w:t>
      </w:r>
      <w:r w:rsidRPr="00B06A2D">
        <w:rPr>
          <w:rFonts w:cs="HelveticaNeue"/>
          <w:color w:val="70AD47" w:themeColor="accent6"/>
        </w:rPr>
        <w:t xml:space="preserve"> </w:t>
      </w:r>
      <w:r w:rsidR="00B06A2D">
        <w:rPr>
          <w:rFonts w:cs="HelveticaNeue"/>
          <w:color w:val="70AD47" w:themeColor="accent6"/>
        </w:rPr>
        <w:t xml:space="preserve">formare i ragazzi sulle nuove tecnologie e </w:t>
      </w:r>
      <w:r w:rsidR="00CE18D3">
        <w:rPr>
          <w:rFonts w:cs="HelveticaNeue"/>
          <w:color w:val="70AD47" w:themeColor="accent6"/>
        </w:rPr>
        <w:t xml:space="preserve">i nuovi linguaggi di comunicazione che </w:t>
      </w:r>
      <w:r w:rsidR="005B0EB8">
        <w:rPr>
          <w:rFonts w:cs="HelveticaNeue"/>
          <w:color w:val="70AD47" w:themeColor="accent6"/>
        </w:rPr>
        <w:t>l</w:t>
      </w:r>
      <w:r w:rsidR="00CE18D3">
        <w:rPr>
          <w:rFonts w:cs="HelveticaNeue"/>
          <w:color w:val="70AD47" w:themeColor="accent6"/>
        </w:rPr>
        <w:t xml:space="preserve">i avvicinino in modo corretto all’utilizzo di questi strumenti e </w:t>
      </w:r>
      <w:r w:rsidR="00511A63">
        <w:rPr>
          <w:rFonts w:cs="HelveticaNeue"/>
          <w:color w:val="70AD47" w:themeColor="accent6"/>
        </w:rPr>
        <w:t xml:space="preserve">con l’ausilio </w:t>
      </w:r>
      <w:r w:rsidR="005B0EB8">
        <w:rPr>
          <w:rFonts w:cs="HelveticaNeue"/>
          <w:color w:val="70AD47" w:themeColor="accent6"/>
        </w:rPr>
        <w:t>materiali didattici</w:t>
      </w:r>
      <w:r w:rsidR="00511A63">
        <w:rPr>
          <w:rFonts w:cs="HelveticaNeue"/>
          <w:color w:val="70AD47" w:themeColor="accent6"/>
        </w:rPr>
        <w:t xml:space="preserve"> multimediale e della LIM interattiva</w:t>
      </w:r>
      <w:r w:rsidR="00CE18D3">
        <w:rPr>
          <w:rFonts w:cs="HelveticaNeue"/>
          <w:color w:val="70AD47" w:themeColor="accent6"/>
        </w:rPr>
        <w:t>.</w:t>
      </w:r>
    </w:p>
    <w:p w:rsidR="00E643F7" w:rsidRPr="00B06A2D" w:rsidRDefault="00E643F7" w:rsidP="00E86E3A">
      <w:pPr>
        <w:autoSpaceDE w:val="0"/>
        <w:autoSpaceDN w:val="0"/>
        <w:adjustRightInd w:val="0"/>
        <w:spacing w:afterLines="60" w:after="144" w:line="240" w:lineRule="auto"/>
        <w:ind w:left="709"/>
        <w:rPr>
          <w:rFonts w:cs="HelveticaNeue"/>
          <w:color w:val="70AD47" w:themeColor="accent6"/>
        </w:rPr>
      </w:pPr>
      <w:r w:rsidRPr="00B06A2D">
        <w:rPr>
          <w:rFonts w:cs="HelveticaNeue"/>
          <w:color w:val="70AD47" w:themeColor="accent6"/>
        </w:rPr>
        <w:t>Finalità: supporto e gestione processi formativi, innovazione della didattica con</w:t>
      </w:r>
      <w:r w:rsidR="001C3CA1" w:rsidRPr="00B06A2D">
        <w:rPr>
          <w:rFonts w:cs="HelveticaNeue"/>
          <w:color w:val="70AD47" w:themeColor="accent6"/>
        </w:rPr>
        <w:t xml:space="preserve"> </w:t>
      </w:r>
      <w:r w:rsidRPr="00B06A2D">
        <w:rPr>
          <w:rFonts w:cs="HelveticaNeue"/>
          <w:color w:val="70AD47" w:themeColor="accent6"/>
        </w:rPr>
        <w:t xml:space="preserve">metodi </w:t>
      </w:r>
      <w:proofErr w:type="spellStart"/>
      <w:r w:rsidRPr="00B06A2D">
        <w:rPr>
          <w:rFonts w:cs="HelveticaNeue"/>
          <w:color w:val="70AD47" w:themeColor="accent6"/>
        </w:rPr>
        <w:t>flipped</w:t>
      </w:r>
      <w:proofErr w:type="spellEnd"/>
      <w:r w:rsidRPr="00B06A2D">
        <w:rPr>
          <w:rFonts w:cs="HelveticaNeue"/>
          <w:color w:val="70AD47" w:themeColor="accent6"/>
        </w:rPr>
        <w:t xml:space="preserve"> </w:t>
      </w:r>
      <w:proofErr w:type="spellStart"/>
      <w:r w:rsidRPr="00B06A2D">
        <w:rPr>
          <w:rFonts w:cs="HelveticaNeue"/>
          <w:color w:val="70AD47" w:themeColor="accent6"/>
        </w:rPr>
        <w:t>classroom</w:t>
      </w:r>
      <w:proofErr w:type="spellEnd"/>
      <w:r w:rsidRPr="00B06A2D">
        <w:rPr>
          <w:rFonts w:cs="HelveticaNeue"/>
          <w:color w:val="70AD47" w:themeColor="accent6"/>
        </w:rPr>
        <w:t>.</w:t>
      </w:r>
    </w:p>
    <w:p w:rsidR="00374038" w:rsidRPr="00B87343" w:rsidRDefault="00374038" w:rsidP="008E2D98">
      <w:pPr>
        <w:autoSpaceDE w:val="0"/>
        <w:autoSpaceDN w:val="0"/>
        <w:adjustRightInd w:val="0"/>
        <w:spacing w:before="40" w:afterLines="60" w:after="144" w:line="240" w:lineRule="auto"/>
        <w:ind w:left="284"/>
        <w:rPr>
          <w:rFonts w:cs="HelveticaNeue-Bold"/>
          <w:b/>
          <w:bCs/>
        </w:rPr>
      </w:pPr>
      <w:r w:rsidRPr="00B87343">
        <w:rPr>
          <w:rFonts w:cs="HelveticaNeue-Bold"/>
          <w:b/>
          <w:bCs/>
        </w:rPr>
        <w:t>6. Metodologie e Innovatività</w:t>
      </w:r>
    </w:p>
    <w:p w:rsidR="00374038" w:rsidRPr="008E2D98" w:rsidRDefault="00374038" w:rsidP="008E2D98">
      <w:pPr>
        <w:autoSpaceDE w:val="0"/>
        <w:autoSpaceDN w:val="0"/>
        <w:adjustRightInd w:val="0"/>
        <w:spacing w:before="120" w:afterLines="60" w:after="144" w:line="240" w:lineRule="auto"/>
        <w:ind w:left="567" w:hanging="142"/>
        <w:rPr>
          <w:rFonts w:cs="HelveticaNeue"/>
          <w:b/>
        </w:rPr>
      </w:pPr>
      <w:r w:rsidRPr="008E2D98">
        <w:rPr>
          <w:rFonts w:cs="HelveticaNeue"/>
          <w:b/>
        </w:rPr>
        <w:t>I. per quali aspetti il progetto può dirsi innovativo:</w:t>
      </w:r>
    </w:p>
    <w:p w:rsidR="00374038" w:rsidRPr="008E2D98" w:rsidRDefault="008E2D98" w:rsidP="008E2D98">
      <w:pPr>
        <w:autoSpaceDE w:val="0"/>
        <w:autoSpaceDN w:val="0"/>
        <w:adjustRightInd w:val="0"/>
        <w:spacing w:afterLines="60" w:after="144" w:line="240" w:lineRule="auto"/>
        <w:ind w:left="709"/>
        <w:rPr>
          <w:rFonts w:cs="HelveticaNeue"/>
          <w:color w:val="70AD47" w:themeColor="accent6"/>
        </w:rPr>
      </w:pPr>
      <w:r w:rsidRPr="008E2D98">
        <w:rPr>
          <w:rFonts w:cs="HelveticaNeue"/>
          <w:color w:val="70AD47" w:themeColor="accent6"/>
        </w:rPr>
        <w:t>Progetto</w:t>
      </w:r>
      <w:r w:rsidR="00374038" w:rsidRPr="008E2D98">
        <w:rPr>
          <w:rFonts w:cs="HelveticaNeue"/>
          <w:color w:val="70AD47" w:themeColor="accent6"/>
        </w:rPr>
        <w:t xml:space="preserve"> studiato con obiettivo di supportare la formazione in aula e a distanza con metodo </w:t>
      </w:r>
      <w:proofErr w:type="spellStart"/>
      <w:r w:rsidR="00374038" w:rsidRPr="008E2D98">
        <w:rPr>
          <w:rFonts w:cs="HelveticaNeue"/>
          <w:color w:val="70AD47" w:themeColor="accent6"/>
        </w:rPr>
        <w:t>flipped</w:t>
      </w:r>
      <w:proofErr w:type="spellEnd"/>
      <w:r w:rsidR="00374038" w:rsidRPr="008E2D98">
        <w:rPr>
          <w:rFonts w:cs="HelveticaNeue"/>
          <w:color w:val="70AD47" w:themeColor="accent6"/>
        </w:rPr>
        <w:t xml:space="preserve"> </w:t>
      </w:r>
      <w:proofErr w:type="spellStart"/>
      <w:r w:rsidR="00374038" w:rsidRPr="008E2D98">
        <w:rPr>
          <w:rFonts w:cs="HelveticaNeue"/>
          <w:color w:val="70AD47" w:themeColor="accent6"/>
        </w:rPr>
        <w:t>classroom</w:t>
      </w:r>
      <w:proofErr w:type="spellEnd"/>
      <w:r w:rsidR="00374038" w:rsidRPr="008E2D98">
        <w:rPr>
          <w:rFonts w:cs="HelveticaNeue"/>
          <w:color w:val="70AD47" w:themeColor="accent6"/>
        </w:rPr>
        <w:t>. Software innovativi, in cloud, on cloud, contenuti sviluppati con html 5</w:t>
      </w:r>
      <w:r w:rsidR="00BC1E8C">
        <w:rPr>
          <w:rFonts w:cs="HelveticaNeue"/>
          <w:color w:val="70AD47" w:themeColor="accent6"/>
        </w:rPr>
        <w:t xml:space="preserve">. </w:t>
      </w:r>
      <w:r w:rsidRPr="008E2D98">
        <w:rPr>
          <w:rFonts w:cs="HelveticaNeue"/>
          <w:color w:val="70AD47" w:themeColor="accent6"/>
        </w:rPr>
        <w:t>Si proporranno agli studenti contenuti didattici digitali reperibili in remoto al fine di promuovere</w:t>
      </w:r>
      <w:r w:rsidR="00374038" w:rsidRPr="008E2D98">
        <w:rPr>
          <w:rFonts w:cs="HelveticaNeue"/>
          <w:color w:val="70AD47" w:themeColor="accent6"/>
        </w:rPr>
        <w:t xml:space="preserve"> modell</w:t>
      </w:r>
      <w:r w:rsidR="00BC1E8C">
        <w:rPr>
          <w:rFonts w:cs="HelveticaNeue"/>
          <w:color w:val="70AD47" w:themeColor="accent6"/>
        </w:rPr>
        <w:t>i</w:t>
      </w:r>
      <w:r w:rsidR="00374038" w:rsidRPr="008E2D98">
        <w:rPr>
          <w:rFonts w:cs="HelveticaNeue"/>
          <w:color w:val="70AD47" w:themeColor="accent6"/>
        </w:rPr>
        <w:t xml:space="preserve"> di innovazione didattica su logica Cloud, </w:t>
      </w:r>
      <w:r>
        <w:rPr>
          <w:rFonts w:cs="HelveticaNeue"/>
          <w:color w:val="70AD47" w:themeColor="accent6"/>
        </w:rPr>
        <w:t xml:space="preserve">si utilizzeranno, inoltre sistemo didattici multimediali, </w:t>
      </w:r>
      <w:r w:rsidR="00374038" w:rsidRPr="008E2D98">
        <w:rPr>
          <w:rFonts w:cs="HelveticaNeue"/>
          <w:color w:val="70AD47" w:themeColor="accent6"/>
        </w:rPr>
        <w:t xml:space="preserve">LIM </w:t>
      </w:r>
      <w:r>
        <w:rPr>
          <w:rFonts w:cs="HelveticaNeue"/>
          <w:color w:val="70AD47" w:themeColor="accent6"/>
        </w:rPr>
        <w:t xml:space="preserve">personal computer </w:t>
      </w:r>
      <w:r w:rsidR="00374038" w:rsidRPr="008E2D98">
        <w:rPr>
          <w:rFonts w:cs="HelveticaNeue"/>
          <w:color w:val="70AD47" w:themeColor="accent6"/>
        </w:rPr>
        <w:t xml:space="preserve">e </w:t>
      </w:r>
      <w:r w:rsidRPr="008E2D98">
        <w:rPr>
          <w:rFonts w:cs="HelveticaNeue"/>
          <w:color w:val="70AD47" w:themeColor="accent6"/>
        </w:rPr>
        <w:t>BYOD</w:t>
      </w:r>
      <w:r w:rsidR="00374038" w:rsidRPr="008E2D98">
        <w:rPr>
          <w:rFonts w:cs="HelveticaNeue"/>
          <w:color w:val="70AD47" w:themeColor="accent6"/>
        </w:rPr>
        <w:t>.</w:t>
      </w:r>
    </w:p>
    <w:p w:rsidR="00374038" w:rsidRPr="008E2D98" w:rsidRDefault="00374038" w:rsidP="008E2D98">
      <w:pPr>
        <w:autoSpaceDE w:val="0"/>
        <w:autoSpaceDN w:val="0"/>
        <w:adjustRightInd w:val="0"/>
        <w:spacing w:before="120" w:afterLines="60" w:after="144" w:line="240" w:lineRule="auto"/>
        <w:ind w:left="567" w:hanging="142"/>
        <w:rPr>
          <w:rFonts w:cs="HelveticaNeue"/>
          <w:b/>
        </w:rPr>
      </w:pPr>
      <w:r w:rsidRPr="008E2D98">
        <w:rPr>
          <w:rFonts w:cs="HelveticaNeue"/>
          <w:b/>
        </w:rPr>
        <w:t>II. quali metodi saranno applicati nella promozione della didattica attiva:</w:t>
      </w:r>
    </w:p>
    <w:p w:rsidR="00374038" w:rsidRPr="008E2D98" w:rsidRDefault="00BC1E8C" w:rsidP="008E2D98">
      <w:pPr>
        <w:autoSpaceDE w:val="0"/>
        <w:autoSpaceDN w:val="0"/>
        <w:adjustRightInd w:val="0"/>
        <w:spacing w:afterLines="60" w:after="144" w:line="240" w:lineRule="auto"/>
        <w:ind w:left="709"/>
        <w:rPr>
          <w:rFonts w:cs="HelveticaNeue"/>
          <w:color w:val="70AD47" w:themeColor="accent6"/>
        </w:rPr>
      </w:pPr>
      <w:r w:rsidRPr="008E2D98">
        <w:rPr>
          <w:rFonts w:cs="HelveticaNeue"/>
          <w:color w:val="70AD47" w:themeColor="accent6"/>
        </w:rPr>
        <w:t xml:space="preserve">A </w:t>
      </w:r>
      <w:r w:rsidR="00374038" w:rsidRPr="008E2D98">
        <w:rPr>
          <w:rFonts w:cs="HelveticaNeue"/>
          <w:color w:val="70AD47" w:themeColor="accent6"/>
        </w:rPr>
        <w:t>cura della scuola.</w:t>
      </w:r>
    </w:p>
    <w:p w:rsidR="00374038" w:rsidRPr="008E2D98" w:rsidRDefault="00374038" w:rsidP="008E2D98">
      <w:pPr>
        <w:autoSpaceDE w:val="0"/>
        <w:autoSpaceDN w:val="0"/>
        <w:adjustRightInd w:val="0"/>
        <w:spacing w:before="120" w:afterLines="60" w:after="144" w:line="240" w:lineRule="auto"/>
        <w:ind w:left="567" w:hanging="142"/>
        <w:rPr>
          <w:rFonts w:cs="HelveticaNeue"/>
          <w:b/>
        </w:rPr>
      </w:pPr>
      <w:r w:rsidRPr="008E2D98">
        <w:rPr>
          <w:rFonts w:cs="HelveticaNeue"/>
          <w:b/>
        </w:rPr>
        <w:t>III. quali strumenti favoriranno la realizzazione del progetto:</w:t>
      </w:r>
    </w:p>
    <w:p w:rsidR="00374038" w:rsidRPr="00F400D3" w:rsidRDefault="00F400D3" w:rsidP="008E2D98">
      <w:pPr>
        <w:autoSpaceDE w:val="0"/>
        <w:autoSpaceDN w:val="0"/>
        <w:adjustRightInd w:val="0"/>
        <w:spacing w:afterLines="60" w:after="144" w:line="240" w:lineRule="auto"/>
        <w:ind w:left="709"/>
        <w:rPr>
          <w:rFonts w:cs="HelveticaNeue"/>
          <w:color w:val="70AD47" w:themeColor="accent6"/>
        </w:rPr>
      </w:pPr>
      <w:r w:rsidRPr="00F400D3">
        <w:rPr>
          <w:rFonts w:cs="HelveticaNeue"/>
          <w:color w:val="70AD47" w:themeColor="accent6"/>
        </w:rPr>
        <w:t>Gli strumenti che favoriranno la realizzazione del pr</w:t>
      </w:r>
      <w:r w:rsidR="00BC1E8C">
        <w:rPr>
          <w:rFonts w:cs="HelveticaNeue"/>
          <w:color w:val="70AD47" w:themeColor="accent6"/>
        </w:rPr>
        <w:t xml:space="preserve">ogetto </w:t>
      </w:r>
      <w:r>
        <w:rPr>
          <w:rFonts w:cs="HelveticaNeue"/>
          <w:color w:val="70AD47" w:themeColor="accent6"/>
        </w:rPr>
        <w:t>sono</w:t>
      </w:r>
      <w:r w:rsidRPr="00F400D3">
        <w:rPr>
          <w:rFonts w:cs="HelveticaNeue"/>
          <w:color w:val="70AD47" w:themeColor="accent6"/>
        </w:rPr>
        <w:t xml:space="preserve"> </w:t>
      </w:r>
      <w:r w:rsidR="00374038" w:rsidRPr="00F400D3">
        <w:rPr>
          <w:rFonts w:cs="HelveticaNeue"/>
          <w:color w:val="70AD47" w:themeColor="accent6"/>
        </w:rPr>
        <w:t xml:space="preserve">tecnologie digitali, LIM, tablet, pc, </w:t>
      </w:r>
      <w:proofErr w:type="spellStart"/>
      <w:r w:rsidR="00374038" w:rsidRPr="00F400D3">
        <w:rPr>
          <w:rFonts w:cs="HelveticaNeue"/>
          <w:color w:val="70AD47" w:themeColor="accent6"/>
        </w:rPr>
        <w:t>smartphone</w:t>
      </w:r>
      <w:proofErr w:type="spellEnd"/>
      <w:r w:rsidR="00374038" w:rsidRPr="00F400D3">
        <w:rPr>
          <w:rFonts w:cs="HelveticaNeue"/>
          <w:color w:val="70AD47" w:themeColor="accent6"/>
        </w:rPr>
        <w:t>, cloud.</w:t>
      </w:r>
    </w:p>
    <w:p w:rsidR="008E2D98" w:rsidRPr="008E2D98" w:rsidRDefault="00374038" w:rsidP="008E2D98">
      <w:pPr>
        <w:autoSpaceDE w:val="0"/>
        <w:autoSpaceDN w:val="0"/>
        <w:adjustRightInd w:val="0"/>
        <w:spacing w:before="120" w:afterLines="60" w:after="144" w:line="240" w:lineRule="auto"/>
        <w:ind w:left="567" w:hanging="142"/>
        <w:rPr>
          <w:rFonts w:cs="HelveticaNeue"/>
          <w:b/>
        </w:rPr>
      </w:pPr>
      <w:r w:rsidRPr="008E2D98">
        <w:rPr>
          <w:rFonts w:cs="HelveticaNeue"/>
          <w:b/>
        </w:rPr>
        <w:lastRenderedPageBreak/>
        <w:t xml:space="preserve">IV. quali impatti si prevedono sui destinatari, sulla comunità scolastica e sul territorio: </w:t>
      </w:r>
    </w:p>
    <w:p w:rsidR="00374038" w:rsidRPr="000D3FA6" w:rsidRDefault="00341D7B" w:rsidP="00341D7B">
      <w:pPr>
        <w:autoSpaceDE w:val="0"/>
        <w:autoSpaceDN w:val="0"/>
        <w:adjustRightInd w:val="0"/>
        <w:spacing w:afterLines="60" w:after="144" w:line="240" w:lineRule="auto"/>
        <w:ind w:left="709"/>
        <w:rPr>
          <w:rFonts w:cs="HelveticaNeue"/>
          <w:color w:val="70AD47" w:themeColor="accent6"/>
        </w:rPr>
      </w:pPr>
      <w:r w:rsidRPr="00341D7B">
        <w:rPr>
          <w:rFonts w:cs="HelveticaNeue"/>
          <w:color w:val="70AD47" w:themeColor="accent6"/>
        </w:rPr>
        <w:t>Attraverso un approccio tecnologico, l’istituto può dare visibilità del progetto sul</w:t>
      </w:r>
      <w:r>
        <w:rPr>
          <w:rFonts w:cs="HelveticaNeue"/>
          <w:color w:val="70AD47" w:themeColor="accent6"/>
        </w:rPr>
        <w:t xml:space="preserve"> </w:t>
      </w:r>
      <w:r w:rsidRPr="00341D7B">
        <w:rPr>
          <w:rFonts w:cs="HelveticaNeue"/>
          <w:color w:val="70AD47" w:themeColor="accent6"/>
        </w:rPr>
        <w:t>proprio sito istituzionale e portare a conoscenza gli enti territoriali.</w:t>
      </w:r>
    </w:p>
    <w:p w:rsidR="00F74335" w:rsidRPr="00B87343" w:rsidRDefault="00F74335" w:rsidP="00E86E3A">
      <w:pPr>
        <w:autoSpaceDE w:val="0"/>
        <w:autoSpaceDN w:val="0"/>
        <w:adjustRightInd w:val="0"/>
        <w:spacing w:before="240" w:afterLines="60" w:after="144" w:line="240" w:lineRule="auto"/>
        <w:rPr>
          <w:rFonts w:cs="HelveticaNeue"/>
        </w:rPr>
      </w:pPr>
      <w:r w:rsidRPr="00B87343">
        <w:rPr>
          <w:rFonts w:cs="HelveticaNeue"/>
        </w:rPr>
        <w:t xml:space="preserve">7. </w:t>
      </w:r>
      <w:r w:rsidRPr="00B87343">
        <w:rPr>
          <w:rFonts w:cs="HelveticaNeue-Bold"/>
          <w:b/>
          <w:bCs/>
        </w:rPr>
        <w:t>Coerenza con l’offerta formativa</w:t>
      </w:r>
      <w:r w:rsidRPr="00B87343">
        <w:rPr>
          <w:rFonts w:cs="HelveticaNeue"/>
        </w:rPr>
        <w:t>:</w:t>
      </w:r>
    </w:p>
    <w:p w:rsidR="00027B25" w:rsidRPr="00495DB7" w:rsidRDefault="00027B25" w:rsidP="00027B25">
      <w:pPr>
        <w:autoSpaceDE w:val="0"/>
        <w:autoSpaceDN w:val="0"/>
        <w:adjustRightInd w:val="0"/>
        <w:spacing w:afterLines="60" w:after="144" w:line="240" w:lineRule="auto"/>
        <w:ind w:left="709"/>
        <w:rPr>
          <w:rFonts w:cs="HelveticaNeue"/>
          <w:color w:val="70AD47" w:themeColor="accent6"/>
        </w:rPr>
      </w:pPr>
      <w:r w:rsidRPr="00495DB7">
        <w:rPr>
          <w:rFonts w:cs="HelveticaNeue"/>
          <w:color w:val="70AD47" w:themeColor="accent6"/>
        </w:rPr>
        <w:t xml:space="preserve">Coerenza e continuità con scuole che hanno </w:t>
      </w:r>
      <w:r>
        <w:rPr>
          <w:rFonts w:cs="HelveticaNeue"/>
          <w:color w:val="70AD47" w:themeColor="accent6"/>
        </w:rPr>
        <w:t>già intrapreso</w:t>
      </w:r>
      <w:r w:rsidRPr="00495DB7">
        <w:rPr>
          <w:rFonts w:cs="HelveticaNeue"/>
          <w:color w:val="70AD47" w:themeColor="accent6"/>
        </w:rPr>
        <w:t xml:space="preserve"> un processo innovativo di utilizzo di strumenti </w:t>
      </w:r>
      <w:r>
        <w:rPr>
          <w:rFonts w:cs="HelveticaNeue"/>
          <w:color w:val="70AD47" w:themeColor="accent6"/>
        </w:rPr>
        <w:t xml:space="preserve">digitali </w:t>
      </w:r>
      <w:r w:rsidRPr="00495DB7">
        <w:rPr>
          <w:rFonts w:cs="HelveticaNeue"/>
          <w:color w:val="70AD47" w:themeColor="accent6"/>
        </w:rPr>
        <w:t>multimediali o che stanno approcciando a t</w:t>
      </w:r>
      <w:r>
        <w:rPr>
          <w:rFonts w:cs="HelveticaNeue"/>
          <w:color w:val="70AD47" w:themeColor="accent6"/>
        </w:rPr>
        <w:t>a</w:t>
      </w:r>
      <w:r w:rsidRPr="00495DB7">
        <w:rPr>
          <w:rFonts w:cs="HelveticaNeue"/>
          <w:color w:val="70AD47" w:themeColor="accent6"/>
        </w:rPr>
        <w:t>le metodologi</w:t>
      </w:r>
      <w:r>
        <w:rPr>
          <w:rFonts w:cs="HelveticaNeue"/>
          <w:color w:val="70AD47" w:themeColor="accent6"/>
        </w:rPr>
        <w:t>a</w:t>
      </w:r>
      <w:r w:rsidRPr="00495DB7">
        <w:rPr>
          <w:rFonts w:cs="HelveticaNeue"/>
          <w:color w:val="70AD47" w:themeColor="accent6"/>
        </w:rPr>
        <w:t xml:space="preserve"> </w:t>
      </w:r>
      <w:r>
        <w:rPr>
          <w:rFonts w:cs="HelveticaNeue"/>
          <w:color w:val="70AD47" w:themeColor="accent6"/>
        </w:rPr>
        <w:t>al fine di diffondere in modo capillare questa conoscenza e farla diventare parte integrante del percorso didattico</w:t>
      </w:r>
      <w:r w:rsidRPr="00495DB7">
        <w:rPr>
          <w:rFonts w:cs="HelveticaNeue"/>
          <w:color w:val="70AD47" w:themeColor="accent6"/>
        </w:rPr>
        <w:t>.</w:t>
      </w:r>
    </w:p>
    <w:p w:rsidR="00495DB7" w:rsidRDefault="0049433A" w:rsidP="00E86E3A">
      <w:pPr>
        <w:autoSpaceDE w:val="0"/>
        <w:autoSpaceDN w:val="0"/>
        <w:adjustRightInd w:val="0"/>
        <w:spacing w:before="240" w:afterLines="60" w:after="144" w:line="240" w:lineRule="auto"/>
        <w:rPr>
          <w:rFonts w:cs="HelveticaNeue"/>
        </w:rPr>
      </w:pPr>
      <w:r w:rsidRPr="00B87343">
        <w:rPr>
          <w:rFonts w:cs="HelveticaNeue"/>
        </w:rPr>
        <w:t xml:space="preserve">8. </w:t>
      </w:r>
      <w:proofErr w:type="spellStart"/>
      <w:r w:rsidRPr="00B87343">
        <w:rPr>
          <w:rFonts w:cs="HelveticaNeue-Bold"/>
          <w:b/>
          <w:bCs/>
        </w:rPr>
        <w:t>Inclusività</w:t>
      </w:r>
      <w:proofErr w:type="spellEnd"/>
      <w:r w:rsidRPr="00B87343">
        <w:rPr>
          <w:rFonts w:cs="HelveticaNeue"/>
        </w:rPr>
        <w:t xml:space="preserve">: </w:t>
      </w:r>
    </w:p>
    <w:p w:rsidR="00F74335" w:rsidRPr="00B87343" w:rsidRDefault="00BC1E8C" w:rsidP="00495DB7">
      <w:pPr>
        <w:autoSpaceDE w:val="0"/>
        <w:autoSpaceDN w:val="0"/>
        <w:adjustRightInd w:val="0"/>
        <w:spacing w:before="240" w:afterLines="60" w:after="144" w:line="240" w:lineRule="auto"/>
        <w:ind w:left="709"/>
        <w:rPr>
          <w:rFonts w:cs="HelveticaNeue"/>
        </w:rPr>
      </w:pPr>
      <w:r w:rsidRPr="00B87343">
        <w:rPr>
          <w:rFonts w:cs="HelveticaNeue"/>
        </w:rPr>
        <w:t xml:space="preserve">A </w:t>
      </w:r>
      <w:r w:rsidR="0049433A" w:rsidRPr="00B87343">
        <w:rPr>
          <w:rFonts w:cs="HelveticaNeue"/>
        </w:rPr>
        <w:t>cura della scuola.</w:t>
      </w:r>
    </w:p>
    <w:p w:rsidR="00A56821" w:rsidRPr="00B87343" w:rsidRDefault="00A56821" w:rsidP="00E86E3A">
      <w:pPr>
        <w:autoSpaceDE w:val="0"/>
        <w:autoSpaceDN w:val="0"/>
        <w:adjustRightInd w:val="0"/>
        <w:spacing w:before="240" w:afterLines="60" w:after="144" w:line="240" w:lineRule="auto"/>
        <w:rPr>
          <w:rFonts w:cs="HelveticaNeue"/>
        </w:rPr>
      </w:pPr>
      <w:r w:rsidRPr="00B87343">
        <w:rPr>
          <w:rFonts w:cs="HelveticaNeue"/>
        </w:rPr>
        <w:t xml:space="preserve">9. </w:t>
      </w:r>
      <w:r w:rsidRPr="00B87343">
        <w:rPr>
          <w:rFonts w:cs="HelveticaNeue-Bold"/>
          <w:b/>
          <w:bCs/>
        </w:rPr>
        <w:t>Impatto e sostenibilità</w:t>
      </w:r>
      <w:r w:rsidRPr="00B87343">
        <w:rPr>
          <w:rFonts w:cs="HelveticaNeue"/>
        </w:rPr>
        <w:t>:</w:t>
      </w:r>
    </w:p>
    <w:p w:rsidR="00035E7C" w:rsidRPr="004830F5" w:rsidRDefault="00035E7C" w:rsidP="00E86E3A">
      <w:pPr>
        <w:autoSpaceDE w:val="0"/>
        <w:autoSpaceDN w:val="0"/>
        <w:adjustRightInd w:val="0"/>
        <w:spacing w:afterLines="60" w:after="144" w:line="240" w:lineRule="auto"/>
        <w:ind w:left="284"/>
        <w:rPr>
          <w:rFonts w:cs="HelveticaNeue"/>
          <w:color w:val="70AD47" w:themeColor="accent6"/>
        </w:rPr>
      </w:pPr>
      <w:r w:rsidRPr="004830F5">
        <w:rPr>
          <w:rFonts w:cs="HelveticaNeue"/>
          <w:color w:val="70AD47" w:themeColor="accent6"/>
        </w:rPr>
        <w:t>Verrà fatta una valutazione inziale dei</w:t>
      </w:r>
      <w:r w:rsidR="00A56821" w:rsidRPr="004830F5">
        <w:rPr>
          <w:rFonts w:cs="HelveticaNeue"/>
          <w:color w:val="70AD47" w:themeColor="accent6"/>
        </w:rPr>
        <w:t xml:space="preserve"> fabbisogni formativi degli studenti di tutte le classi della scuola sulla base dei test per evidenziare i loro fabbisogni formativi. </w:t>
      </w:r>
    </w:p>
    <w:p w:rsidR="00035E7C" w:rsidRPr="00511A63" w:rsidRDefault="004830F5" w:rsidP="00E86E3A">
      <w:pPr>
        <w:autoSpaceDE w:val="0"/>
        <w:autoSpaceDN w:val="0"/>
        <w:adjustRightInd w:val="0"/>
        <w:spacing w:afterLines="60" w:after="144" w:line="240" w:lineRule="auto"/>
        <w:ind w:left="284"/>
        <w:rPr>
          <w:rFonts w:cs="HelveticaNeue"/>
          <w:color w:val="70AD47" w:themeColor="accent6"/>
        </w:rPr>
      </w:pPr>
      <w:r w:rsidRPr="00511A63">
        <w:rPr>
          <w:rFonts w:cs="HelveticaNeue"/>
          <w:color w:val="70AD47" w:themeColor="accent6"/>
        </w:rPr>
        <w:t>Si utilizzeranno</w:t>
      </w:r>
      <w:r w:rsidR="00035E7C" w:rsidRPr="00511A63">
        <w:rPr>
          <w:rFonts w:cs="HelveticaNeue"/>
          <w:color w:val="70AD47" w:themeColor="accent6"/>
        </w:rPr>
        <w:t xml:space="preserve"> strumenti in uso alla scuola e</w:t>
      </w:r>
      <w:r w:rsidRPr="00511A63">
        <w:rPr>
          <w:rFonts w:cs="HelveticaNeue"/>
          <w:color w:val="70AD47" w:themeColor="accent6"/>
        </w:rPr>
        <w:t>/o</w:t>
      </w:r>
      <w:r w:rsidR="00035E7C" w:rsidRPr="00511A63">
        <w:rPr>
          <w:rFonts w:cs="HelveticaNeue"/>
          <w:color w:val="70AD47" w:themeColor="accent6"/>
        </w:rPr>
        <w:t xml:space="preserve"> potenziati con </w:t>
      </w:r>
      <w:r w:rsidRPr="00511A63">
        <w:rPr>
          <w:rFonts w:cs="HelveticaNeue"/>
          <w:color w:val="70AD47" w:themeColor="accent6"/>
        </w:rPr>
        <w:t>l’acquisizione</w:t>
      </w:r>
      <w:r w:rsidR="00035E7C" w:rsidRPr="00511A63">
        <w:rPr>
          <w:rFonts w:cs="HelveticaNeue"/>
          <w:color w:val="70AD47" w:themeColor="accent6"/>
        </w:rPr>
        <w:t xml:space="preserve"> di materiali didattici a supporto dell’attività formativa</w:t>
      </w:r>
      <w:r w:rsidRPr="00511A63">
        <w:rPr>
          <w:rFonts w:cs="HelveticaNeue"/>
          <w:color w:val="70AD47" w:themeColor="accent6"/>
        </w:rPr>
        <w:t>.</w:t>
      </w:r>
    </w:p>
    <w:p w:rsidR="00511A63" w:rsidRPr="00511A63" w:rsidRDefault="00A849CD" w:rsidP="00E86E3A">
      <w:pPr>
        <w:autoSpaceDE w:val="0"/>
        <w:autoSpaceDN w:val="0"/>
        <w:adjustRightInd w:val="0"/>
        <w:spacing w:afterLines="60" w:after="144" w:line="240" w:lineRule="auto"/>
        <w:ind w:left="284"/>
        <w:rPr>
          <w:rFonts w:cs="HelveticaNeue"/>
          <w:color w:val="70AD47" w:themeColor="accent6"/>
        </w:rPr>
      </w:pPr>
      <w:r>
        <w:rPr>
          <w:rFonts w:cs="HelveticaNeue"/>
          <w:color w:val="70AD47" w:themeColor="accent6"/>
        </w:rPr>
        <w:t>I</w:t>
      </w:r>
      <w:r w:rsidR="00511A63" w:rsidRPr="00511A63">
        <w:rPr>
          <w:rFonts w:cs="HelveticaNeue"/>
          <w:color w:val="70AD47" w:themeColor="accent6"/>
        </w:rPr>
        <w:t xml:space="preserve">l primo giorno </w:t>
      </w:r>
      <w:r w:rsidR="00BC1E8C">
        <w:rPr>
          <w:rFonts w:cs="HelveticaNeue"/>
          <w:color w:val="70AD47" w:themeColor="accent6"/>
        </w:rPr>
        <w:t>verrà</w:t>
      </w:r>
      <w:r w:rsidR="00511A63" w:rsidRPr="00511A63">
        <w:rPr>
          <w:rFonts w:cs="HelveticaNeue"/>
          <w:color w:val="70AD47" w:themeColor="accent6"/>
        </w:rPr>
        <w:t xml:space="preserve"> effettuata la prova iniziale, nella quale si verificano le competenze degli studenti e i risultati verranno congelati per il confronto con la verifica finale. Inizia la formazione d’aula da parte dei docenti col supporto della LIM interattiva e utilizzando la piattaforma digitale. Per ogni modulo vi sarà un docente esperto supportato da un tutor. In itinere sarà monitorato l’andamento del percorso di rafforzamento attraverso esercizi e test.</w:t>
      </w:r>
    </w:p>
    <w:p w:rsidR="00A56821" w:rsidRDefault="00A56821" w:rsidP="00511A63">
      <w:pPr>
        <w:autoSpaceDE w:val="0"/>
        <w:autoSpaceDN w:val="0"/>
        <w:adjustRightInd w:val="0"/>
        <w:spacing w:afterLines="60" w:after="144" w:line="240" w:lineRule="auto"/>
        <w:ind w:left="284"/>
        <w:rPr>
          <w:rFonts w:cs="HelveticaNeue"/>
          <w:color w:val="70AD47" w:themeColor="accent6"/>
        </w:rPr>
      </w:pPr>
      <w:r w:rsidRPr="004830F5">
        <w:rPr>
          <w:rFonts w:cs="HelveticaNeue"/>
          <w:color w:val="70AD47" w:themeColor="accent6"/>
        </w:rPr>
        <w:t>Alla fine del percorso verrà effettuata una prova finale, che verrà confrontata con quella iniziale, per fornire ai docenti il quadro complessivo dell’andamento degli studenti.</w:t>
      </w:r>
    </w:p>
    <w:p w:rsidR="00A56821" w:rsidRPr="00B87343" w:rsidRDefault="00A56821" w:rsidP="00E86E3A">
      <w:pPr>
        <w:autoSpaceDE w:val="0"/>
        <w:autoSpaceDN w:val="0"/>
        <w:adjustRightInd w:val="0"/>
        <w:spacing w:before="240" w:afterLines="60" w:after="144" w:line="240" w:lineRule="auto"/>
        <w:rPr>
          <w:rFonts w:cs="HelveticaNeue-Bold"/>
          <w:b/>
          <w:bCs/>
        </w:rPr>
      </w:pPr>
      <w:r w:rsidRPr="00B87343">
        <w:rPr>
          <w:rFonts w:cs="HelveticaNeue-Bold"/>
          <w:b/>
          <w:bCs/>
        </w:rPr>
        <w:t>10. Prospettive di scalabilità e replicabilità della stessa nel tempo e sul territorio:</w:t>
      </w:r>
    </w:p>
    <w:p w:rsidR="00A56821" w:rsidRPr="00B87343" w:rsidRDefault="00A56821" w:rsidP="00E86E3A">
      <w:pPr>
        <w:autoSpaceDE w:val="0"/>
        <w:autoSpaceDN w:val="0"/>
        <w:adjustRightInd w:val="0"/>
        <w:spacing w:before="120" w:afterLines="60" w:after="144" w:line="240" w:lineRule="auto"/>
        <w:ind w:left="142"/>
        <w:rPr>
          <w:rFonts w:cs="HelveticaNeue"/>
        </w:rPr>
      </w:pPr>
      <w:r w:rsidRPr="00B87343">
        <w:rPr>
          <w:rFonts w:cs="HelveticaNeue"/>
        </w:rPr>
        <w:t xml:space="preserve">I. </w:t>
      </w:r>
      <w:r w:rsidRPr="00B87343">
        <w:rPr>
          <w:rFonts w:cs="HelveticaNeue-Bold"/>
          <w:b/>
          <w:bCs/>
        </w:rPr>
        <w:t>come sarà comunicato il progetto alla comunità scolastica e al territorio</w:t>
      </w:r>
      <w:r w:rsidRPr="00B87343">
        <w:rPr>
          <w:rFonts w:cs="HelveticaNeue"/>
        </w:rPr>
        <w:t>:</w:t>
      </w:r>
    </w:p>
    <w:p w:rsidR="00A56821" w:rsidRPr="004830F5" w:rsidRDefault="00A56821" w:rsidP="00E86E3A">
      <w:pPr>
        <w:autoSpaceDE w:val="0"/>
        <w:autoSpaceDN w:val="0"/>
        <w:adjustRightInd w:val="0"/>
        <w:spacing w:before="60" w:afterLines="60" w:after="144" w:line="240" w:lineRule="auto"/>
        <w:ind w:left="284"/>
        <w:rPr>
          <w:rFonts w:cs="HelveticaNeue"/>
          <w:color w:val="70AD47" w:themeColor="accent6"/>
        </w:rPr>
      </w:pPr>
      <w:r w:rsidRPr="004830F5">
        <w:rPr>
          <w:rFonts w:cs="HelveticaNeue"/>
          <w:color w:val="70AD47" w:themeColor="accent6"/>
        </w:rPr>
        <w:t>D</w:t>
      </w:r>
      <w:r w:rsidR="004830F5">
        <w:rPr>
          <w:rFonts w:cs="HelveticaNeue"/>
          <w:color w:val="70AD47" w:themeColor="accent6"/>
        </w:rPr>
        <w:t>opo l’approvazione del progetto</w:t>
      </w:r>
      <w:r w:rsidRPr="004830F5">
        <w:rPr>
          <w:rFonts w:cs="HelveticaNeue"/>
          <w:color w:val="70AD47" w:themeColor="accent6"/>
        </w:rPr>
        <w:t>:</w:t>
      </w:r>
    </w:p>
    <w:p w:rsidR="00A56821" w:rsidRPr="004830F5" w:rsidRDefault="00A56821" w:rsidP="00E86E3A">
      <w:pPr>
        <w:autoSpaceDE w:val="0"/>
        <w:autoSpaceDN w:val="0"/>
        <w:adjustRightInd w:val="0"/>
        <w:spacing w:afterLines="60" w:after="144" w:line="240" w:lineRule="auto"/>
        <w:ind w:left="426" w:hanging="142"/>
        <w:rPr>
          <w:rFonts w:cs="HelveticaNeue"/>
          <w:color w:val="70AD47" w:themeColor="accent6"/>
        </w:rPr>
      </w:pPr>
      <w:r w:rsidRPr="004830F5">
        <w:rPr>
          <w:rFonts w:cs="HelveticaNeue"/>
          <w:color w:val="70AD47" w:themeColor="accent6"/>
        </w:rPr>
        <w:t>• verrà data comunicazione ai docenti della scuola, nel caso siano coinvolti nel progetto come docenti esperti o tutor</w:t>
      </w:r>
    </w:p>
    <w:p w:rsidR="00A56821" w:rsidRPr="004830F5" w:rsidRDefault="00A56821" w:rsidP="00E86E3A">
      <w:pPr>
        <w:autoSpaceDE w:val="0"/>
        <w:autoSpaceDN w:val="0"/>
        <w:adjustRightInd w:val="0"/>
        <w:spacing w:afterLines="60" w:after="144" w:line="240" w:lineRule="auto"/>
        <w:ind w:left="426" w:hanging="142"/>
        <w:rPr>
          <w:rFonts w:cs="HelveticaNeue"/>
          <w:color w:val="70AD47" w:themeColor="accent6"/>
        </w:rPr>
      </w:pPr>
      <w:r w:rsidRPr="004830F5">
        <w:rPr>
          <w:rFonts w:cs="HelveticaNeue"/>
          <w:color w:val="70AD47" w:themeColor="accent6"/>
        </w:rPr>
        <w:t>• pianificazione delle attività da parte della scuola che coinvolge DS, DSGA, docenti, personale amministrativo, studenti e genitori.</w:t>
      </w:r>
    </w:p>
    <w:p w:rsidR="00934629" w:rsidRPr="004830F5" w:rsidRDefault="00A56821" w:rsidP="00BC1E8C">
      <w:pPr>
        <w:autoSpaceDE w:val="0"/>
        <w:autoSpaceDN w:val="0"/>
        <w:adjustRightInd w:val="0"/>
        <w:spacing w:afterLines="60" w:after="144" w:line="240" w:lineRule="auto"/>
        <w:ind w:left="426" w:hanging="142"/>
        <w:rPr>
          <w:rFonts w:cs="HelveticaNeue"/>
          <w:color w:val="70AD47" w:themeColor="accent6"/>
        </w:rPr>
      </w:pPr>
      <w:r w:rsidRPr="004830F5">
        <w:rPr>
          <w:rFonts w:cs="HelveticaNeue"/>
          <w:color w:val="70AD47" w:themeColor="accent6"/>
        </w:rPr>
        <w:t xml:space="preserve">• </w:t>
      </w:r>
      <w:r w:rsidR="00850876" w:rsidRPr="004830F5">
        <w:rPr>
          <w:rFonts w:cs="HelveticaNeue"/>
          <w:color w:val="70AD47" w:themeColor="accent6"/>
        </w:rPr>
        <w:t xml:space="preserve">i docenti esperi e tutor coinvolti nel </w:t>
      </w:r>
      <w:r w:rsidR="00850876">
        <w:rPr>
          <w:rFonts w:cs="HelveticaNeue"/>
          <w:color w:val="70AD47" w:themeColor="accent6"/>
        </w:rPr>
        <w:t xml:space="preserve">progetto </w:t>
      </w:r>
      <w:r w:rsidR="00254313">
        <w:rPr>
          <w:rFonts w:cs="HelveticaNeue"/>
          <w:color w:val="70AD47" w:themeColor="accent6"/>
        </w:rPr>
        <w:t>riceveranno</w:t>
      </w:r>
      <w:r w:rsidR="00850876">
        <w:rPr>
          <w:rFonts w:cs="HelveticaNeue"/>
          <w:color w:val="70AD47" w:themeColor="accent6"/>
        </w:rPr>
        <w:t xml:space="preserve"> una formazione preliminare per allinearli sugli obiettivi formativi e la modalità di erogazione concepita con modalità laboratoriale</w:t>
      </w:r>
      <w:r w:rsidR="00850876" w:rsidRPr="004830F5">
        <w:rPr>
          <w:rFonts w:cs="HelveticaNeue"/>
          <w:color w:val="70AD47" w:themeColor="accent6"/>
        </w:rPr>
        <w:t xml:space="preserve">. Questa formazione di base avrà una durata di 2/3 ore, effettuata con </w:t>
      </w:r>
      <w:proofErr w:type="spellStart"/>
      <w:r w:rsidR="00850876" w:rsidRPr="004830F5">
        <w:rPr>
          <w:rFonts w:cs="HelveticaNeue"/>
          <w:color w:val="70AD47" w:themeColor="accent6"/>
        </w:rPr>
        <w:t>webinar</w:t>
      </w:r>
      <w:proofErr w:type="spellEnd"/>
      <w:r w:rsidR="00850876" w:rsidRPr="004830F5">
        <w:rPr>
          <w:rFonts w:cs="HelveticaNeue"/>
          <w:color w:val="70AD47" w:themeColor="accent6"/>
        </w:rPr>
        <w:t>/workshop.</w:t>
      </w:r>
    </w:p>
    <w:p w:rsidR="00934629" w:rsidRPr="00B87343" w:rsidRDefault="00934629" w:rsidP="00E86E3A">
      <w:pPr>
        <w:spacing w:afterLines="60" w:after="144"/>
        <w:rPr>
          <w:rFonts w:cs="HelveticaNeue"/>
        </w:rPr>
      </w:pPr>
      <w:r w:rsidRPr="00B87343">
        <w:rPr>
          <w:rFonts w:cs="HelveticaNeue"/>
        </w:rPr>
        <w:t xml:space="preserve">II. </w:t>
      </w:r>
      <w:r w:rsidRPr="00B87343">
        <w:rPr>
          <w:rFonts w:cs="HelveticaNeue-Bold"/>
          <w:b/>
          <w:bCs/>
        </w:rPr>
        <w:t>Il progetto prevede sviluppi che proseguano oltre la sua conclusione</w:t>
      </w:r>
      <w:r w:rsidRPr="00B87343">
        <w:rPr>
          <w:rFonts w:cs="HelveticaNeue"/>
        </w:rPr>
        <w:t>:</w:t>
      </w:r>
    </w:p>
    <w:p w:rsidR="00934629" w:rsidRPr="007B50B3" w:rsidRDefault="00254313" w:rsidP="00E86E3A">
      <w:pPr>
        <w:autoSpaceDE w:val="0"/>
        <w:autoSpaceDN w:val="0"/>
        <w:adjustRightInd w:val="0"/>
        <w:spacing w:afterLines="60" w:after="144" w:line="240" w:lineRule="auto"/>
        <w:ind w:left="284"/>
        <w:rPr>
          <w:rFonts w:cs="HelveticaNeue"/>
          <w:color w:val="70AD47" w:themeColor="accent6"/>
        </w:rPr>
      </w:pPr>
      <w:r w:rsidRPr="007B50B3">
        <w:rPr>
          <w:rFonts w:cs="HelveticaNeue"/>
          <w:color w:val="70AD47" w:themeColor="accent6"/>
        </w:rPr>
        <w:t xml:space="preserve">Gli studenti che hanno fatto parte del progetto potranno continuare a fruire dei contenuti </w:t>
      </w:r>
      <w:r>
        <w:rPr>
          <w:rFonts w:cs="HelveticaNeue"/>
          <w:color w:val="70AD47" w:themeColor="accent6"/>
        </w:rPr>
        <w:t xml:space="preserve">multimediali sviluppati da docenti e messi loro a disposizione </w:t>
      </w:r>
      <w:r w:rsidRPr="007B50B3">
        <w:rPr>
          <w:rFonts w:cs="HelveticaNeue"/>
          <w:color w:val="70AD47" w:themeColor="accent6"/>
        </w:rPr>
        <w:t>per altri 6 mesi oltre la fine dei corsi.</w:t>
      </w:r>
    </w:p>
    <w:p w:rsidR="00934629" w:rsidRPr="00B87343" w:rsidRDefault="00934629" w:rsidP="00E86E3A">
      <w:pPr>
        <w:autoSpaceDE w:val="0"/>
        <w:autoSpaceDN w:val="0"/>
        <w:adjustRightInd w:val="0"/>
        <w:spacing w:before="120" w:afterLines="60" w:after="144" w:line="240" w:lineRule="auto"/>
        <w:rPr>
          <w:rFonts w:cs="HelveticaNeue"/>
        </w:rPr>
      </w:pPr>
      <w:r w:rsidRPr="00B87343">
        <w:rPr>
          <w:rFonts w:cs="HelveticaNeue"/>
        </w:rPr>
        <w:t xml:space="preserve">III. </w:t>
      </w:r>
      <w:r w:rsidRPr="00B87343">
        <w:rPr>
          <w:rFonts w:cs="HelveticaNeue-Bold"/>
          <w:b/>
          <w:bCs/>
        </w:rPr>
        <w:t>Se saranno prodotti materiali riutilizzabili e come verranno messi a disposizione</w:t>
      </w:r>
      <w:r w:rsidRPr="00B87343">
        <w:rPr>
          <w:rFonts w:cs="HelveticaNeue"/>
        </w:rPr>
        <w:t>:</w:t>
      </w:r>
    </w:p>
    <w:p w:rsidR="00934629" w:rsidRPr="004F4859" w:rsidRDefault="00934629" w:rsidP="00E86E3A">
      <w:pPr>
        <w:autoSpaceDE w:val="0"/>
        <w:autoSpaceDN w:val="0"/>
        <w:adjustRightInd w:val="0"/>
        <w:spacing w:afterLines="60" w:after="144" w:line="240" w:lineRule="auto"/>
        <w:ind w:left="284"/>
        <w:rPr>
          <w:rFonts w:cs="HelveticaNeue"/>
          <w:color w:val="70AD47" w:themeColor="accent6"/>
        </w:rPr>
      </w:pPr>
      <w:r w:rsidRPr="004F4859">
        <w:rPr>
          <w:rFonts w:cs="HelveticaNeue"/>
          <w:color w:val="70AD47" w:themeColor="accent6"/>
        </w:rPr>
        <w:t>I materiali utilizzati nell’azione di rafforzamento potranno essere fru</w:t>
      </w:r>
      <w:r w:rsidR="006062B1">
        <w:rPr>
          <w:rFonts w:cs="HelveticaNeue"/>
          <w:color w:val="70AD47" w:themeColor="accent6"/>
        </w:rPr>
        <w:t>iti anche da tutti gli studenti</w:t>
      </w:r>
      <w:r w:rsidRPr="004F4859">
        <w:rPr>
          <w:rFonts w:cs="HelveticaNeue"/>
          <w:color w:val="70AD47" w:themeColor="accent6"/>
        </w:rPr>
        <w:t xml:space="preserve"> </w:t>
      </w:r>
      <w:r w:rsidR="006062B1">
        <w:rPr>
          <w:rFonts w:cs="HelveticaNeue"/>
          <w:color w:val="70AD47" w:themeColor="accent6"/>
        </w:rPr>
        <w:t>e resteranno come materiali didattici in uso alla scuola.</w:t>
      </w:r>
    </w:p>
    <w:p w:rsidR="00934629" w:rsidRPr="00B87343" w:rsidRDefault="00934629" w:rsidP="00E86E3A">
      <w:pPr>
        <w:autoSpaceDE w:val="0"/>
        <w:autoSpaceDN w:val="0"/>
        <w:adjustRightInd w:val="0"/>
        <w:spacing w:before="120" w:afterLines="60" w:after="144" w:line="240" w:lineRule="auto"/>
        <w:rPr>
          <w:rFonts w:cs="HelveticaNeue"/>
        </w:rPr>
      </w:pPr>
      <w:r w:rsidRPr="00B87343">
        <w:rPr>
          <w:rFonts w:cs="HelveticaNeue"/>
        </w:rPr>
        <w:t xml:space="preserve">IV. </w:t>
      </w:r>
      <w:r w:rsidRPr="00B87343">
        <w:rPr>
          <w:rFonts w:cs="HelveticaNeue-Bold"/>
          <w:b/>
          <w:bCs/>
        </w:rPr>
        <w:t>Documentazione realizzata per favorire la replicabilità del progetto in altri contesti</w:t>
      </w:r>
      <w:r w:rsidRPr="00B87343">
        <w:rPr>
          <w:rFonts w:cs="HelveticaNeue"/>
        </w:rPr>
        <w:t>:</w:t>
      </w:r>
    </w:p>
    <w:p w:rsidR="00934629" w:rsidRPr="004F4859" w:rsidRDefault="00934629" w:rsidP="00E86E3A">
      <w:pPr>
        <w:autoSpaceDE w:val="0"/>
        <w:autoSpaceDN w:val="0"/>
        <w:adjustRightInd w:val="0"/>
        <w:spacing w:afterLines="60" w:after="144" w:line="240" w:lineRule="auto"/>
        <w:ind w:left="284"/>
        <w:rPr>
          <w:rFonts w:cs="HelveticaNeue"/>
          <w:color w:val="70AD47" w:themeColor="accent6"/>
        </w:rPr>
      </w:pPr>
      <w:r w:rsidRPr="004F4859">
        <w:rPr>
          <w:rFonts w:cs="HelveticaNeue"/>
          <w:color w:val="70AD47" w:themeColor="accent6"/>
        </w:rPr>
        <w:t>Del progetto la scuola darà visibilità a tutta la comunità scolastica sul proprio sito.</w:t>
      </w:r>
    </w:p>
    <w:p w:rsidR="00236628" w:rsidRPr="00B87343" w:rsidRDefault="00236628" w:rsidP="003867D9">
      <w:pPr>
        <w:autoSpaceDE w:val="0"/>
        <w:autoSpaceDN w:val="0"/>
        <w:adjustRightInd w:val="0"/>
        <w:spacing w:before="240" w:afterLines="60" w:after="144" w:line="240" w:lineRule="auto"/>
        <w:ind w:left="284" w:hanging="284"/>
        <w:rPr>
          <w:rFonts w:cs="HelveticaNeue"/>
        </w:rPr>
      </w:pPr>
      <w:r w:rsidRPr="00B87343">
        <w:rPr>
          <w:rFonts w:cs="HelveticaNeue"/>
        </w:rPr>
        <w:lastRenderedPageBreak/>
        <w:t xml:space="preserve">11. </w:t>
      </w:r>
      <w:r w:rsidRPr="00B87343">
        <w:rPr>
          <w:rFonts w:cs="HelveticaNeue-Bold"/>
          <w:b/>
          <w:bCs/>
        </w:rPr>
        <w:t>Modalità di coinvolgimento di studentesse e di studenti e genitori nella progettazione da definire nell’ambito della descrizione del progetto</w:t>
      </w:r>
      <w:r w:rsidRPr="00B87343">
        <w:rPr>
          <w:rFonts w:cs="HelveticaNeue"/>
        </w:rPr>
        <w:t>:</w:t>
      </w:r>
    </w:p>
    <w:p w:rsidR="001C00D4" w:rsidRPr="0026073D" w:rsidRDefault="001C00D4" w:rsidP="001C00D4">
      <w:pPr>
        <w:autoSpaceDE w:val="0"/>
        <w:autoSpaceDN w:val="0"/>
        <w:adjustRightInd w:val="0"/>
        <w:spacing w:afterLines="60" w:after="144" w:line="240" w:lineRule="auto"/>
        <w:ind w:left="284"/>
        <w:rPr>
          <w:rFonts w:cs="HelveticaNeue"/>
          <w:color w:val="70AD47" w:themeColor="accent6"/>
        </w:rPr>
      </w:pPr>
      <w:r>
        <w:rPr>
          <w:rFonts w:cs="HelveticaNeue"/>
          <w:color w:val="70AD47" w:themeColor="accent6"/>
        </w:rPr>
        <w:t>Per ogni scuola si faranno dei workshop della durata di 2 ore dove saranno coinvolti studenti, docenti e genitori per far comprendere potenzialità e rischi del WEB.</w:t>
      </w:r>
    </w:p>
    <w:p w:rsidR="00514BCB" w:rsidRPr="006D7F4C" w:rsidRDefault="00514BCB" w:rsidP="006D7F4C">
      <w:pPr>
        <w:autoSpaceDE w:val="0"/>
        <w:autoSpaceDN w:val="0"/>
        <w:adjustRightInd w:val="0"/>
        <w:spacing w:afterLines="60" w:after="144" w:line="240" w:lineRule="auto"/>
        <w:rPr>
          <w:rFonts w:cs="HelveticaNeue-Bold"/>
          <w:b/>
          <w:bCs/>
          <w:sz w:val="26"/>
          <w:szCs w:val="26"/>
        </w:rPr>
      </w:pPr>
      <w:r w:rsidRPr="006D7F4C">
        <w:rPr>
          <w:rFonts w:cs="HelveticaNeue-Bold"/>
          <w:b/>
          <w:bCs/>
          <w:sz w:val="26"/>
          <w:szCs w:val="26"/>
        </w:rPr>
        <w:t>2.2.4 Coinvolgimento altri soggetti</w:t>
      </w:r>
    </w:p>
    <w:p w:rsidR="00514BCB" w:rsidRPr="00B87343" w:rsidRDefault="00514BCB" w:rsidP="00E86E3A">
      <w:pPr>
        <w:autoSpaceDE w:val="0"/>
        <w:autoSpaceDN w:val="0"/>
        <w:adjustRightInd w:val="0"/>
        <w:spacing w:afterLines="60" w:after="144" w:line="240" w:lineRule="auto"/>
        <w:ind w:left="284"/>
        <w:rPr>
          <w:rFonts w:cs="HelveticaNeue-Bold"/>
          <w:b/>
          <w:bCs/>
        </w:rPr>
      </w:pPr>
      <w:r w:rsidRPr="00B87343">
        <w:rPr>
          <w:rFonts w:cs="HelveticaNeue-Bold"/>
          <w:b/>
          <w:bCs/>
        </w:rPr>
        <w:t>2.2.4.2. Coinvolgimento di ulteriori attori del territorio</w:t>
      </w:r>
    </w:p>
    <w:p w:rsidR="00384292" w:rsidRDefault="00514BCB" w:rsidP="00E86E3A">
      <w:pPr>
        <w:autoSpaceDE w:val="0"/>
        <w:autoSpaceDN w:val="0"/>
        <w:adjustRightInd w:val="0"/>
        <w:spacing w:before="120" w:afterLines="60" w:after="144" w:line="240" w:lineRule="auto"/>
        <w:ind w:left="284"/>
        <w:rPr>
          <w:rFonts w:cs="HelveticaNeue"/>
        </w:rPr>
      </w:pPr>
      <w:r w:rsidRPr="00B87343">
        <w:rPr>
          <w:rFonts w:cs="HelveticaNeue"/>
        </w:rPr>
        <w:t xml:space="preserve">Titolo del progetto: </w:t>
      </w:r>
    </w:p>
    <w:p w:rsidR="00514BCB" w:rsidRPr="00B87343" w:rsidRDefault="00384292" w:rsidP="00E86E3A">
      <w:pPr>
        <w:autoSpaceDE w:val="0"/>
        <w:autoSpaceDN w:val="0"/>
        <w:adjustRightInd w:val="0"/>
        <w:spacing w:before="120" w:afterLines="60" w:after="144" w:line="240" w:lineRule="auto"/>
        <w:ind w:left="284"/>
        <w:rPr>
          <w:rFonts w:cs="HelveticaNeue"/>
        </w:rPr>
      </w:pPr>
      <w:r w:rsidRPr="000D6081">
        <w:rPr>
          <w:b/>
          <w:i/>
          <w:smallCaps/>
          <w:color w:val="70AD47" w:themeColor="accent6"/>
          <w:sz w:val="24"/>
        </w:rPr>
        <w:t xml:space="preserve">Alfabetizzazione Informatica – Corso di preparazione alla certificazione </w:t>
      </w:r>
      <w:r w:rsidR="008A5E4F">
        <w:rPr>
          <w:b/>
          <w:i/>
          <w:smallCaps/>
          <w:color w:val="70AD47" w:themeColor="accent6"/>
          <w:sz w:val="24"/>
        </w:rPr>
        <w:t>EIPASS</w:t>
      </w:r>
      <w:r w:rsidR="008A5E4F" w:rsidRPr="000D6081">
        <w:rPr>
          <w:b/>
          <w:i/>
          <w:smallCaps/>
          <w:color w:val="70AD47" w:themeColor="accent6"/>
          <w:sz w:val="24"/>
        </w:rPr>
        <w:t xml:space="preserve"> </w:t>
      </w:r>
      <w:r w:rsidRPr="000D6081">
        <w:rPr>
          <w:b/>
          <w:i/>
          <w:smallCaps/>
          <w:color w:val="70AD47" w:themeColor="accent6"/>
          <w:sz w:val="24"/>
        </w:rPr>
        <w:t xml:space="preserve">livello </w:t>
      </w:r>
      <w:r w:rsidR="008A5E4F">
        <w:rPr>
          <w:b/>
          <w:i/>
          <w:smallCaps/>
          <w:color w:val="70AD47" w:themeColor="accent6"/>
          <w:sz w:val="24"/>
        </w:rPr>
        <w:t>Basic</w:t>
      </w:r>
    </w:p>
    <w:p w:rsidR="00514BCB" w:rsidRPr="00B87343" w:rsidRDefault="00514BCB" w:rsidP="00E86E3A">
      <w:pPr>
        <w:autoSpaceDE w:val="0"/>
        <w:autoSpaceDN w:val="0"/>
        <w:adjustRightInd w:val="0"/>
        <w:spacing w:before="120" w:afterLines="60" w:after="144" w:line="240" w:lineRule="auto"/>
        <w:ind w:left="284"/>
        <w:rPr>
          <w:rFonts w:cs="HelveticaNeue"/>
        </w:rPr>
      </w:pPr>
      <w:r w:rsidRPr="00B87343">
        <w:rPr>
          <w:rFonts w:cs="HelveticaNeue"/>
        </w:rPr>
        <w:t xml:space="preserve">Oggetto della collaborazione: </w:t>
      </w:r>
      <w:r w:rsidRPr="004F4859">
        <w:rPr>
          <w:rFonts w:cs="HelveticaNeue"/>
          <w:color w:val="70AD47" w:themeColor="accent6"/>
        </w:rPr>
        <w:t>partenariato e collaborazione</w:t>
      </w:r>
    </w:p>
    <w:p w:rsidR="00514BCB" w:rsidRPr="004F4859" w:rsidRDefault="00514BCB" w:rsidP="00E86E3A">
      <w:pPr>
        <w:autoSpaceDE w:val="0"/>
        <w:autoSpaceDN w:val="0"/>
        <w:adjustRightInd w:val="0"/>
        <w:spacing w:before="120" w:afterLines="60" w:after="144" w:line="240" w:lineRule="auto"/>
        <w:ind w:left="284"/>
        <w:rPr>
          <w:rFonts w:cs="HelveticaNeue"/>
          <w:color w:val="70AD47" w:themeColor="accent6"/>
        </w:rPr>
      </w:pPr>
      <w:r w:rsidRPr="00B87343">
        <w:rPr>
          <w:rFonts w:cs="HelveticaNeue"/>
        </w:rPr>
        <w:t xml:space="preserve">Tipologia della collaborazione: </w:t>
      </w:r>
      <w:r w:rsidRPr="004F4859">
        <w:rPr>
          <w:rFonts w:cs="HelveticaNeue"/>
          <w:color w:val="70AD47" w:themeColor="accent6"/>
        </w:rPr>
        <w:t>La collaborazione è a titolo oneroso</w:t>
      </w:r>
    </w:p>
    <w:p w:rsidR="00514BCB" w:rsidRPr="004F4859" w:rsidRDefault="00514BCB" w:rsidP="0026073D">
      <w:pPr>
        <w:autoSpaceDE w:val="0"/>
        <w:autoSpaceDN w:val="0"/>
        <w:adjustRightInd w:val="0"/>
        <w:spacing w:before="120" w:afterLines="60" w:after="144" w:line="240" w:lineRule="auto"/>
        <w:ind w:left="709" w:hanging="425"/>
        <w:rPr>
          <w:rFonts w:cs="HelveticaNeue"/>
          <w:color w:val="70AD47" w:themeColor="accent6"/>
        </w:rPr>
      </w:pPr>
      <w:r w:rsidRPr="00B87343">
        <w:rPr>
          <w:rFonts w:cs="HelveticaNeue"/>
        </w:rPr>
        <w:t xml:space="preserve">Tipologia soggetti previsti: </w:t>
      </w:r>
      <w:r w:rsidR="009E3E49" w:rsidRPr="009E3E49">
        <w:rPr>
          <w:rFonts w:cs="HelveticaNeue"/>
          <w:color w:val="70AD47" w:themeColor="accent6"/>
        </w:rPr>
        <w:t>ente giuridico che erogherà il servizio e produrrà la documentazione didattica tramite accesso in remoto su server cloud</w:t>
      </w:r>
    </w:p>
    <w:p w:rsidR="007C36EC" w:rsidRPr="006D7F4C" w:rsidRDefault="007C36EC" w:rsidP="006D7F4C">
      <w:pPr>
        <w:autoSpaceDE w:val="0"/>
        <w:autoSpaceDN w:val="0"/>
        <w:adjustRightInd w:val="0"/>
        <w:spacing w:afterLines="60" w:after="144" w:line="240" w:lineRule="auto"/>
        <w:rPr>
          <w:rFonts w:cs="HelveticaNeue-Bold"/>
          <w:b/>
          <w:bCs/>
          <w:sz w:val="26"/>
          <w:szCs w:val="26"/>
        </w:rPr>
      </w:pPr>
      <w:r w:rsidRPr="006D7F4C">
        <w:rPr>
          <w:rFonts w:cs="HelveticaNeue-Bold"/>
          <w:b/>
          <w:bCs/>
          <w:sz w:val="26"/>
          <w:szCs w:val="26"/>
        </w:rPr>
        <w:t>2.2.5 Moduli</w:t>
      </w:r>
    </w:p>
    <w:p w:rsidR="007C36EC" w:rsidRPr="00B87343" w:rsidRDefault="007C36EC" w:rsidP="00E86E3A">
      <w:pPr>
        <w:autoSpaceDE w:val="0"/>
        <w:autoSpaceDN w:val="0"/>
        <w:adjustRightInd w:val="0"/>
        <w:spacing w:afterLines="60" w:after="144" w:line="240" w:lineRule="auto"/>
        <w:rPr>
          <w:rFonts w:cs="HelveticaNeue-Bold"/>
          <w:b/>
          <w:bCs/>
        </w:rPr>
      </w:pPr>
      <w:r w:rsidRPr="00B87343">
        <w:rPr>
          <w:rFonts w:cs="HelveticaNeue-Bold"/>
          <w:b/>
          <w:bCs/>
        </w:rPr>
        <w:t>Nuovo modulo</w:t>
      </w:r>
    </w:p>
    <w:p w:rsidR="007C36EC" w:rsidRPr="0060039B" w:rsidRDefault="007C36EC" w:rsidP="0027664F">
      <w:pPr>
        <w:autoSpaceDE w:val="0"/>
        <w:autoSpaceDN w:val="0"/>
        <w:adjustRightInd w:val="0"/>
        <w:spacing w:after="0" w:line="240" w:lineRule="auto"/>
        <w:ind w:left="284" w:hanging="284"/>
        <w:rPr>
          <w:rFonts w:cs="HelveticaNeue"/>
          <w:color w:val="70AD47" w:themeColor="accent6"/>
        </w:rPr>
      </w:pPr>
      <w:r w:rsidRPr="00B87343">
        <w:rPr>
          <w:rFonts w:cs="HelveticaNeue"/>
        </w:rPr>
        <w:t xml:space="preserve">1. </w:t>
      </w:r>
      <w:r w:rsidRPr="00B87343">
        <w:rPr>
          <w:rFonts w:cs="HelveticaNeue-Bold"/>
          <w:b/>
          <w:bCs/>
        </w:rPr>
        <w:t>Tipologia del modulo, selezionandola fra quelle previste dall’Avviso</w:t>
      </w:r>
      <w:r w:rsidRPr="0060039B">
        <w:rPr>
          <w:rFonts w:cs="HelveticaNeue"/>
          <w:color w:val="70AD47" w:themeColor="accent6"/>
        </w:rPr>
        <w:t xml:space="preserve">: </w:t>
      </w:r>
      <w:r w:rsidR="0027664F">
        <w:rPr>
          <w:rFonts w:cs="HelveticaNeue"/>
          <w:color w:val="70AD47" w:themeColor="accent6"/>
        </w:rPr>
        <w:br/>
      </w:r>
      <w:r w:rsidR="001926CC" w:rsidRPr="0060039B">
        <w:rPr>
          <w:rFonts w:ascii="Corbel" w:hAnsi="Corbel" w:cs="Corbel"/>
          <w:color w:val="70AD47" w:themeColor="accent6"/>
        </w:rPr>
        <w:t>Competenze di “cittadinanza</w:t>
      </w:r>
      <w:r w:rsidR="001926CC">
        <w:rPr>
          <w:rFonts w:ascii="Corbel" w:hAnsi="Corbel" w:cs="Corbel"/>
          <w:color w:val="70AD47" w:themeColor="accent6"/>
        </w:rPr>
        <w:t xml:space="preserve"> </w:t>
      </w:r>
      <w:r w:rsidR="001926CC" w:rsidRPr="0060039B">
        <w:rPr>
          <w:rFonts w:ascii="Corbel" w:hAnsi="Corbel" w:cs="Corbel"/>
          <w:color w:val="70AD47" w:themeColor="accent6"/>
        </w:rPr>
        <w:t>digitale”</w:t>
      </w:r>
    </w:p>
    <w:p w:rsidR="007C36EC" w:rsidRPr="00B87343" w:rsidRDefault="007C36EC" w:rsidP="00E86E3A">
      <w:pPr>
        <w:autoSpaceDE w:val="0"/>
        <w:autoSpaceDN w:val="0"/>
        <w:adjustRightInd w:val="0"/>
        <w:spacing w:afterLines="60" w:after="144" w:line="240" w:lineRule="auto"/>
        <w:rPr>
          <w:rFonts w:cs="HelveticaNeue"/>
        </w:rPr>
      </w:pPr>
      <w:r w:rsidRPr="00B87343">
        <w:rPr>
          <w:rFonts w:cs="HelveticaNeue"/>
        </w:rPr>
        <w:t xml:space="preserve">2. </w:t>
      </w:r>
      <w:r w:rsidRPr="00B87343">
        <w:rPr>
          <w:rFonts w:cs="HelveticaNeue-Bold"/>
          <w:b/>
          <w:bCs/>
        </w:rPr>
        <w:t>Numero destinatari</w:t>
      </w:r>
      <w:r w:rsidRPr="00B87343">
        <w:rPr>
          <w:rFonts w:cs="HelveticaNeue"/>
        </w:rPr>
        <w:t xml:space="preserve">: </w:t>
      </w:r>
      <w:r w:rsidRPr="0060039B">
        <w:rPr>
          <w:rFonts w:cs="HelveticaNeue"/>
          <w:color w:val="70AD47" w:themeColor="accent6"/>
        </w:rPr>
        <w:t>minimo 20 studenti</w:t>
      </w:r>
      <w:r w:rsidRPr="00B87343">
        <w:rPr>
          <w:rFonts w:cs="HelveticaNeue"/>
        </w:rPr>
        <w:t>.</w:t>
      </w:r>
    </w:p>
    <w:p w:rsidR="007C36EC" w:rsidRPr="0060039B" w:rsidRDefault="007C36EC" w:rsidP="00E86E3A">
      <w:pPr>
        <w:autoSpaceDE w:val="0"/>
        <w:autoSpaceDN w:val="0"/>
        <w:adjustRightInd w:val="0"/>
        <w:spacing w:afterLines="60" w:after="144" w:line="240" w:lineRule="auto"/>
        <w:rPr>
          <w:rFonts w:cs="HelveticaNeue"/>
          <w:color w:val="70AD47" w:themeColor="accent6"/>
        </w:rPr>
      </w:pPr>
      <w:r w:rsidRPr="00B87343">
        <w:rPr>
          <w:rFonts w:cs="HelveticaNeue"/>
        </w:rPr>
        <w:t xml:space="preserve">3. </w:t>
      </w:r>
      <w:r w:rsidRPr="00B87343">
        <w:rPr>
          <w:rFonts w:cs="HelveticaNeue-Bold"/>
          <w:b/>
          <w:bCs/>
        </w:rPr>
        <w:t>Sedi dove è previsto l’intervento</w:t>
      </w:r>
      <w:r w:rsidRPr="00B87343">
        <w:rPr>
          <w:rFonts w:cs="HelveticaNeue"/>
        </w:rPr>
        <w:t xml:space="preserve">: </w:t>
      </w:r>
      <w:r w:rsidRPr="0060039B">
        <w:rPr>
          <w:rFonts w:cs="HelveticaNeue"/>
          <w:color w:val="70AD47" w:themeColor="accent6"/>
        </w:rPr>
        <w:t>a cura della scuola.</w:t>
      </w:r>
    </w:p>
    <w:p w:rsidR="007C36EC" w:rsidRPr="00B87343" w:rsidRDefault="007C36EC" w:rsidP="00E86E3A">
      <w:pPr>
        <w:autoSpaceDE w:val="0"/>
        <w:autoSpaceDN w:val="0"/>
        <w:adjustRightInd w:val="0"/>
        <w:spacing w:afterLines="60" w:after="144" w:line="240" w:lineRule="auto"/>
        <w:rPr>
          <w:rFonts w:cs="HelveticaNeue"/>
        </w:rPr>
      </w:pPr>
      <w:r w:rsidRPr="00B87343">
        <w:rPr>
          <w:rFonts w:cs="HelveticaNeue"/>
        </w:rPr>
        <w:t xml:space="preserve">4. </w:t>
      </w:r>
      <w:r w:rsidRPr="00B87343">
        <w:rPr>
          <w:rFonts w:cs="HelveticaNeue-Bold"/>
          <w:b/>
          <w:bCs/>
        </w:rPr>
        <w:t>Numero di ore di formazione previste</w:t>
      </w:r>
      <w:r w:rsidRPr="00B87343">
        <w:rPr>
          <w:rFonts w:cs="HelveticaNeue"/>
        </w:rPr>
        <w:t xml:space="preserve">: </w:t>
      </w:r>
      <w:r w:rsidRPr="0060039B">
        <w:rPr>
          <w:rFonts w:cs="HelveticaNeue"/>
          <w:color w:val="70AD47" w:themeColor="accent6"/>
        </w:rPr>
        <w:t>30 ore.</w:t>
      </w:r>
    </w:p>
    <w:p w:rsidR="007C36EC" w:rsidRPr="00B87343" w:rsidRDefault="007C36EC" w:rsidP="00E86E3A">
      <w:pPr>
        <w:autoSpaceDE w:val="0"/>
        <w:autoSpaceDN w:val="0"/>
        <w:adjustRightInd w:val="0"/>
        <w:spacing w:afterLines="60" w:after="144" w:line="240" w:lineRule="auto"/>
        <w:rPr>
          <w:rFonts w:cs="HelveticaNeue"/>
        </w:rPr>
      </w:pPr>
      <w:r w:rsidRPr="00B87343">
        <w:rPr>
          <w:rFonts w:cs="HelveticaNeue"/>
        </w:rPr>
        <w:t xml:space="preserve">5. </w:t>
      </w:r>
      <w:r w:rsidRPr="00B87343">
        <w:rPr>
          <w:rFonts w:cs="HelveticaNeue-Bold"/>
          <w:b/>
          <w:bCs/>
        </w:rPr>
        <w:t xml:space="preserve">Titolo modulo: </w:t>
      </w:r>
      <w:r w:rsidR="00BF7C78">
        <w:rPr>
          <w:b/>
          <w:i/>
          <w:smallCaps/>
          <w:color w:val="70AD47" w:themeColor="accent6"/>
        </w:rPr>
        <w:t>EIPASS Basic</w:t>
      </w:r>
    </w:p>
    <w:p w:rsidR="00351B52" w:rsidRPr="00B87343" w:rsidRDefault="00351B52" w:rsidP="00E86E3A">
      <w:pPr>
        <w:autoSpaceDE w:val="0"/>
        <w:autoSpaceDN w:val="0"/>
        <w:adjustRightInd w:val="0"/>
        <w:spacing w:afterLines="60" w:after="144" w:line="240" w:lineRule="auto"/>
        <w:rPr>
          <w:rFonts w:cs="HelveticaNeue"/>
        </w:rPr>
      </w:pPr>
      <w:r w:rsidRPr="00B87343">
        <w:rPr>
          <w:rFonts w:cs="HelveticaNeue"/>
        </w:rPr>
        <w:t xml:space="preserve">6. </w:t>
      </w:r>
      <w:r w:rsidRPr="00B87343">
        <w:rPr>
          <w:rFonts w:cs="HelveticaNeue-Bold"/>
          <w:b/>
          <w:bCs/>
        </w:rPr>
        <w:t>Descrizione modulo</w:t>
      </w:r>
      <w:r w:rsidRPr="00B87343">
        <w:rPr>
          <w:rFonts w:cs="HelveticaNeue"/>
        </w:rPr>
        <w:t>:</w:t>
      </w:r>
    </w:p>
    <w:p w:rsidR="00507070" w:rsidRPr="000D3FA6" w:rsidRDefault="00507070" w:rsidP="00507070">
      <w:pPr>
        <w:autoSpaceDE w:val="0"/>
        <w:autoSpaceDN w:val="0"/>
        <w:adjustRightInd w:val="0"/>
        <w:spacing w:afterLines="60" w:after="144" w:line="240" w:lineRule="auto"/>
        <w:ind w:left="284"/>
        <w:rPr>
          <w:rFonts w:cs="HelveticaNeue"/>
          <w:color w:val="70AD47" w:themeColor="accent6"/>
        </w:rPr>
      </w:pPr>
      <w:r>
        <w:rPr>
          <w:rFonts w:cs="HelveticaNeue"/>
          <w:color w:val="70AD47" w:themeColor="accent6"/>
        </w:rPr>
        <w:t>Acquisire le competenze digitali utili ad approcciare in modo consapevole il mondo digitatele e</w:t>
      </w:r>
      <w:r w:rsidRPr="000D3FA6">
        <w:rPr>
          <w:rFonts w:cs="HelveticaNeue"/>
          <w:color w:val="70AD47" w:themeColor="accent6"/>
        </w:rPr>
        <w:t xml:space="preserve"> consentire al docente esperto di gestire la formazione d’aula con uso di LIM interattiva.</w:t>
      </w:r>
    </w:p>
    <w:p w:rsidR="0060039B" w:rsidRDefault="0060039B" w:rsidP="00BE33EA">
      <w:pPr>
        <w:autoSpaceDE w:val="0"/>
        <w:autoSpaceDN w:val="0"/>
        <w:adjustRightInd w:val="0"/>
        <w:spacing w:afterLines="60" w:after="144" w:line="240" w:lineRule="auto"/>
        <w:ind w:left="284"/>
        <w:rPr>
          <w:rFonts w:cs="HelveticaNeue"/>
        </w:rPr>
      </w:pPr>
      <w:r>
        <w:rPr>
          <w:rFonts w:cs="HelveticaNeue"/>
        </w:rPr>
        <w:t>Il modulo si articolerà nei seguenti contenuti:</w:t>
      </w:r>
    </w:p>
    <w:p w:rsidR="00A94D83" w:rsidRPr="00A94D83" w:rsidRDefault="00A94D83" w:rsidP="00A94D83">
      <w:pPr>
        <w:pStyle w:val="Paragrafoelenco"/>
        <w:numPr>
          <w:ilvl w:val="0"/>
          <w:numId w:val="8"/>
        </w:numPr>
        <w:spacing w:after="60"/>
        <w:contextualSpacing w:val="0"/>
        <w:rPr>
          <w:b/>
          <w:color w:val="70AD47" w:themeColor="accent6"/>
        </w:rPr>
      </w:pPr>
      <w:r w:rsidRPr="00A94D83">
        <w:rPr>
          <w:b/>
          <w:color w:val="70AD47" w:themeColor="accent6"/>
        </w:rPr>
        <w:t>MODULO 1 -  I fondamenti dell’ICT</w:t>
      </w:r>
    </w:p>
    <w:p w:rsidR="00A94D83" w:rsidRPr="00A94D83" w:rsidRDefault="00A94D83" w:rsidP="00A94D83">
      <w:pPr>
        <w:pStyle w:val="Paragrafoelenco"/>
        <w:numPr>
          <w:ilvl w:val="0"/>
          <w:numId w:val="5"/>
        </w:numPr>
        <w:rPr>
          <w:color w:val="70AD47" w:themeColor="accent6"/>
        </w:rPr>
      </w:pPr>
      <w:r w:rsidRPr="00A94D83">
        <w:rPr>
          <w:color w:val="70AD47" w:themeColor="accent6"/>
        </w:rPr>
        <w:t>Concetti e definizioni</w:t>
      </w:r>
    </w:p>
    <w:p w:rsidR="00A94D83" w:rsidRPr="00A94D83" w:rsidRDefault="00A94D83" w:rsidP="00A94D83">
      <w:pPr>
        <w:pStyle w:val="Paragrafoelenco"/>
        <w:numPr>
          <w:ilvl w:val="1"/>
          <w:numId w:val="7"/>
        </w:numPr>
        <w:rPr>
          <w:color w:val="70AD47" w:themeColor="accent6"/>
        </w:rPr>
      </w:pPr>
      <w:r w:rsidRPr="00A94D83">
        <w:rPr>
          <w:color w:val="70AD47" w:themeColor="accent6"/>
        </w:rPr>
        <w:t>La parte hardware e la parte software del pc</w:t>
      </w:r>
    </w:p>
    <w:p w:rsidR="00A94D83" w:rsidRPr="00A94D83" w:rsidRDefault="00A94D83" w:rsidP="00A94D83">
      <w:pPr>
        <w:pStyle w:val="Paragrafoelenco"/>
        <w:numPr>
          <w:ilvl w:val="1"/>
          <w:numId w:val="7"/>
        </w:numPr>
        <w:rPr>
          <w:color w:val="70AD47" w:themeColor="accent6"/>
        </w:rPr>
      </w:pPr>
      <w:r w:rsidRPr="00A94D83">
        <w:rPr>
          <w:color w:val="70AD47" w:themeColor="accent6"/>
        </w:rPr>
        <w:t>I sistemi operativi più conosciuti</w:t>
      </w:r>
    </w:p>
    <w:p w:rsidR="00A94D83" w:rsidRPr="00A94D83" w:rsidRDefault="00A94D83" w:rsidP="00A94D83">
      <w:pPr>
        <w:pStyle w:val="Paragrafoelenco"/>
        <w:numPr>
          <w:ilvl w:val="1"/>
          <w:numId w:val="7"/>
        </w:numPr>
        <w:rPr>
          <w:color w:val="70AD47" w:themeColor="accent6"/>
        </w:rPr>
      </w:pPr>
      <w:r w:rsidRPr="00A94D83">
        <w:rPr>
          <w:color w:val="70AD47" w:themeColor="accent6"/>
        </w:rPr>
        <w:t>Le applicazioni di base del computer</w:t>
      </w:r>
    </w:p>
    <w:p w:rsidR="00A94D83" w:rsidRPr="00A94D83" w:rsidRDefault="00A94D83" w:rsidP="00A94D83">
      <w:pPr>
        <w:pStyle w:val="Paragrafoelenco"/>
        <w:numPr>
          <w:ilvl w:val="0"/>
          <w:numId w:val="7"/>
        </w:numPr>
        <w:rPr>
          <w:color w:val="70AD47" w:themeColor="accent6"/>
        </w:rPr>
      </w:pPr>
      <w:r w:rsidRPr="00A94D83">
        <w:rPr>
          <w:color w:val="70AD47" w:themeColor="accent6"/>
        </w:rPr>
        <w:t>Organizzare dati e informazioni</w:t>
      </w:r>
    </w:p>
    <w:p w:rsidR="00A94D83" w:rsidRPr="00A94D83" w:rsidRDefault="00A94D83" w:rsidP="00A94D83">
      <w:pPr>
        <w:pStyle w:val="Paragrafoelenco"/>
        <w:numPr>
          <w:ilvl w:val="1"/>
          <w:numId w:val="7"/>
        </w:numPr>
        <w:rPr>
          <w:color w:val="70AD47" w:themeColor="accent6"/>
        </w:rPr>
      </w:pPr>
      <w:r w:rsidRPr="00A94D83">
        <w:rPr>
          <w:color w:val="70AD47" w:themeColor="accent6"/>
        </w:rPr>
        <w:t>L’organizzazione di file e cartelle</w:t>
      </w:r>
    </w:p>
    <w:p w:rsidR="00A94D83" w:rsidRPr="00A94D83" w:rsidRDefault="00A94D83" w:rsidP="00A94D83">
      <w:pPr>
        <w:pStyle w:val="Paragrafoelenco"/>
        <w:numPr>
          <w:ilvl w:val="1"/>
          <w:numId w:val="7"/>
        </w:numPr>
        <w:rPr>
          <w:color w:val="70AD47" w:themeColor="accent6"/>
        </w:rPr>
      </w:pPr>
      <w:r w:rsidRPr="00A94D83">
        <w:rPr>
          <w:color w:val="70AD47" w:themeColor="accent6"/>
        </w:rPr>
        <w:t>I diversi sistemi di conservazione dei dati</w:t>
      </w:r>
    </w:p>
    <w:p w:rsidR="00A94D83" w:rsidRPr="00A94D83" w:rsidRDefault="00A94D83" w:rsidP="00A94D83">
      <w:pPr>
        <w:pStyle w:val="Paragrafoelenco"/>
        <w:numPr>
          <w:ilvl w:val="0"/>
          <w:numId w:val="7"/>
        </w:numPr>
        <w:rPr>
          <w:color w:val="70AD47" w:themeColor="accent6"/>
        </w:rPr>
      </w:pPr>
      <w:r w:rsidRPr="00A94D83">
        <w:rPr>
          <w:color w:val="70AD47" w:themeColor="accent6"/>
        </w:rPr>
        <w:t>Internet e le Reti</w:t>
      </w:r>
    </w:p>
    <w:p w:rsidR="00A94D83" w:rsidRPr="00A94D83" w:rsidRDefault="00A94D83" w:rsidP="00A94D83">
      <w:pPr>
        <w:pStyle w:val="Paragrafoelenco"/>
        <w:numPr>
          <w:ilvl w:val="1"/>
          <w:numId w:val="7"/>
        </w:numPr>
        <w:rPr>
          <w:color w:val="70AD47" w:themeColor="accent6"/>
        </w:rPr>
      </w:pPr>
      <w:r w:rsidRPr="00A94D83">
        <w:rPr>
          <w:color w:val="70AD47" w:themeColor="accent6"/>
        </w:rPr>
        <w:t>Come accedere ad Internet</w:t>
      </w:r>
    </w:p>
    <w:p w:rsidR="00A94D83" w:rsidRPr="00A94D83" w:rsidRDefault="00A94D83" w:rsidP="00A94D83">
      <w:pPr>
        <w:pStyle w:val="Paragrafoelenco"/>
        <w:numPr>
          <w:ilvl w:val="1"/>
          <w:numId w:val="7"/>
        </w:numPr>
        <w:rPr>
          <w:color w:val="70AD47" w:themeColor="accent6"/>
        </w:rPr>
      </w:pPr>
      <w:r w:rsidRPr="00A94D83">
        <w:rPr>
          <w:color w:val="70AD47" w:themeColor="accent6"/>
        </w:rPr>
        <w:t>LAN, Internet, www</w:t>
      </w:r>
    </w:p>
    <w:p w:rsidR="00A94D83" w:rsidRPr="00A94D83" w:rsidRDefault="00A94D83" w:rsidP="00A94D83">
      <w:pPr>
        <w:pStyle w:val="Paragrafoelenco"/>
        <w:numPr>
          <w:ilvl w:val="0"/>
          <w:numId w:val="7"/>
        </w:numPr>
        <w:rPr>
          <w:color w:val="70AD47" w:themeColor="accent6"/>
        </w:rPr>
      </w:pPr>
      <w:r w:rsidRPr="00A94D83">
        <w:rPr>
          <w:color w:val="70AD47" w:themeColor="accent6"/>
        </w:rPr>
        <w:t>Introduzione alla sicurezza informatica</w:t>
      </w:r>
    </w:p>
    <w:p w:rsidR="00A94D83" w:rsidRPr="00A94D83" w:rsidRDefault="00A94D83" w:rsidP="00A94D83">
      <w:pPr>
        <w:pStyle w:val="Paragrafoelenco"/>
        <w:numPr>
          <w:ilvl w:val="1"/>
          <w:numId w:val="7"/>
        </w:numPr>
        <w:rPr>
          <w:color w:val="70AD47" w:themeColor="accent6"/>
        </w:rPr>
      </w:pPr>
      <w:r w:rsidRPr="00A94D83">
        <w:rPr>
          <w:color w:val="70AD47" w:themeColor="accent6"/>
        </w:rPr>
        <w:t>Protezione del sistema e degli utenti</w:t>
      </w:r>
    </w:p>
    <w:p w:rsidR="00A94D83" w:rsidRPr="00A94D83" w:rsidRDefault="00A94D83" w:rsidP="00A94D83">
      <w:pPr>
        <w:pStyle w:val="Paragrafoelenco"/>
        <w:numPr>
          <w:ilvl w:val="1"/>
          <w:numId w:val="7"/>
        </w:numPr>
        <w:rPr>
          <w:color w:val="70AD47" w:themeColor="accent6"/>
        </w:rPr>
      </w:pPr>
      <w:r w:rsidRPr="00A94D83">
        <w:rPr>
          <w:color w:val="70AD47" w:themeColor="accent6"/>
        </w:rPr>
        <w:t>La sicurezza dei dati e la privacy</w:t>
      </w:r>
    </w:p>
    <w:p w:rsidR="00A94D83" w:rsidRPr="00A94D83" w:rsidRDefault="00A94D83" w:rsidP="00A94D83">
      <w:pPr>
        <w:pStyle w:val="Paragrafoelenco"/>
        <w:numPr>
          <w:ilvl w:val="1"/>
          <w:numId w:val="7"/>
        </w:numPr>
        <w:rPr>
          <w:color w:val="70AD47" w:themeColor="accent6"/>
        </w:rPr>
      </w:pPr>
      <w:r w:rsidRPr="00A94D83">
        <w:rPr>
          <w:color w:val="70AD47" w:themeColor="accent6"/>
        </w:rPr>
        <w:t>Proprietà intellettuale e copyright</w:t>
      </w:r>
    </w:p>
    <w:p w:rsidR="00A94D83" w:rsidRPr="00A94D83" w:rsidRDefault="00A94D83" w:rsidP="00A94D83">
      <w:pPr>
        <w:pStyle w:val="Paragrafoelenco"/>
        <w:numPr>
          <w:ilvl w:val="0"/>
          <w:numId w:val="7"/>
        </w:numPr>
        <w:rPr>
          <w:color w:val="70AD47" w:themeColor="accent6"/>
        </w:rPr>
      </w:pPr>
      <w:r w:rsidRPr="00A94D83">
        <w:rPr>
          <w:color w:val="70AD47" w:themeColor="accent6"/>
        </w:rPr>
        <w:t>Informatica “verde” e sicura</w:t>
      </w:r>
    </w:p>
    <w:p w:rsidR="00A94D83" w:rsidRPr="00A94D83" w:rsidRDefault="00A94D83" w:rsidP="00A94D83">
      <w:pPr>
        <w:pStyle w:val="Paragrafoelenco"/>
        <w:numPr>
          <w:ilvl w:val="1"/>
          <w:numId w:val="7"/>
        </w:numPr>
        <w:rPr>
          <w:color w:val="70AD47" w:themeColor="accent6"/>
        </w:rPr>
      </w:pPr>
      <w:r w:rsidRPr="00A94D83">
        <w:rPr>
          <w:color w:val="70AD47" w:themeColor="accent6"/>
        </w:rPr>
        <w:lastRenderedPageBreak/>
        <w:t>L’utilizzo sicuro del sistema ICT</w:t>
      </w:r>
    </w:p>
    <w:p w:rsidR="00A94D83" w:rsidRPr="00A94D83" w:rsidRDefault="00A94D83" w:rsidP="00A94D83">
      <w:pPr>
        <w:pStyle w:val="Paragrafoelenco"/>
        <w:numPr>
          <w:ilvl w:val="1"/>
          <w:numId w:val="7"/>
        </w:numPr>
        <w:rPr>
          <w:color w:val="70AD47" w:themeColor="accent6"/>
        </w:rPr>
      </w:pPr>
      <w:r w:rsidRPr="00A94D83">
        <w:rPr>
          <w:color w:val="70AD47" w:themeColor="accent6"/>
        </w:rPr>
        <w:t>Lavorare al pc in maniera sana</w:t>
      </w:r>
    </w:p>
    <w:p w:rsidR="00A94D83" w:rsidRPr="00A94D83" w:rsidRDefault="00A94D83" w:rsidP="00A94D83">
      <w:pPr>
        <w:pStyle w:val="Paragrafoelenco"/>
        <w:numPr>
          <w:ilvl w:val="1"/>
          <w:numId w:val="7"/>
        </w:numPr>
        <w:rPr>
          <w:color w:val="70AD47" w:themeColor="accent6"/>
        </w:rPr>
      </w:pPr>
      <w:r w:rsidRPr="00A94D83">
        <w:rPr>
          <w:color w:val="70AD47" w:themeColor="accent6"/>
        </w:rPr>
        <w:t>Il principio di “Green ICT”</w:t>
      </w:r>
    </w:p>
    <w:p w:rsidR="00A94D83" w:rsidRPr="00A94D83" w:rsidRDefault="00A94D83" w:rsidP="00A94D83">
      <w:pPr>
        <w:pStyle w:val="Paragrafoelenco"/>
        <w:numPr>
          <w:ilvl w:val="0"/>
          <w:numId w:val="8"/>
        </w:numPr>
        <w:spacing w:after="60"/>
        <w:contextualSpacing w:val="0"/>
        <w:rPr>
          <w:b/>
          <w:color w:val="70AD47" w:themeColor="accent6"/>
        </w:rPr>
      </w:pPr>
      <w:bookmarkStart w:id="0" w:name="_GoBack"/>
      <w:bookmarkEnd w:id="0"/>
      <w:r w:rsidRPr="00A94D83">
        <w:rPr>
          <w:b/>
          <w:color w:val="70AD47" w:themeColor="accent6"/>
        </w:rPr>
        <w:t>MODULO 2 – Navigare e cercare informazioni sul Web</w:t>
      </w:r>
    </w:p>
    <w:p w:rsidR="00A94D83" w:rsidRPr="00A94D83" w:rsidRDefault="00A94D83" w:rsidP="00A94D83">
      <w:pPr>
        <w:pStyle w:val="Paragrafoelenco"/>
        <w:numPr>
          <w:ilvl w:val="0"/>
          <w:numId w:val="7"/>
        </w:numPr>
        <w:rPr>
          <w:color w:val="70AD47" w:themeColor="accent6"/>
        </w:rPr>
      </w:pPr>
      <w:r w:rsidRPr="00A94D83">
        <w:rPr>
          <w:color w:val="70AD47" w:themeColor="accent6"/>
        </w:rPr>
        <w:t>Usare il browser</w:t>
      </w:r>
    </w:p>
    <w:p w:rsidR="00A94D83" w:rsidRPr="00A94D83" w:rsidRDefault="00A94D83" w:rsidP="00A94D83">
      <w:pPr>
        <w:pStyle w:val="Paragrafoelenco"/>
        <w:numPr>
          <w:ilvl w:val="1"/>
          <w:numId w:val="7"/>
        </w:numPr>
        <w:rPr>
          <w:color w:val="70AD47" w:themeColor="accent6"/>
        </w:rPr>
      </w:pPr>
      <w:r w:rsidRPr="00A94D83">
        <w:rPr>
          <w:color w:val="70AD47" w:themeColor="accent6"/>
        </w:rPr>
        <w:t>La navigazione sul web</w:t>
      </w:r>
    </w:p>
    <w:p w:rsidR="00A94D83" w:rsidRPr="00A94D83" w:rsidRDefault="00A94D83" w:rsidP="00A94D83">
      <w:pPr>
        <w:pStyle w:val="Paragrafoelenco"/>
        <w:numPr>
          <w:ilvl w:val="1"/>
          <w:numId w:val="7"/>
        </w:numPr>
        <w:rPr>
          <w:color w:val="70AD47" w:themeColor="accent6"/>
        </w:rPr>
      </w:pPr>
      <w:r w:rsidRPr="00A94D83">
        <w:rPr>
          <w:color w:val="70AD47" w:themeColor="accent6"/>
        </w:rPr>
        <w:t>Le opzioni e le preferenze di navigazione</w:t>
      </w:r>
    </w:p>
    <w:p w:rsidR="00A94D83" w:rsidRPr="00A94D83" w:rsidRDefault="00A94D83" w:rsidP="00A94D83">
      <w:pPr>
        <w:pStyle w:val="Paragrafoelenco"/>
        <w:numPr>
          <w:ilvl w:val="1"/>
          <w:numId w:val="7"/>
        </w:numPr>
        <w:rPr>
          <w:color w:val="70AD47" w:themeColor="accent6"/>
        </w:rPr>
      </w:pPr>
      <w:r w:rsidRPr="00A94D83">
        <w:rPr>
          <w:color w:val="70AD47" w:themeColor="accent6"/>
        </w:rPr>
        <w:t>L’interfaccia utente del browser</w:t>
      </w:r>
    </w:p>
    <w:p w:rsidR="00A94D83" w:rsidRPr="00A94D83" w:rsidRDefault="00A94D83" w:rsidP="00A94D83">
      <w:pPr>
        <w:pStyle w:val="Paragrafoelenco"/>
        <w:numPr>
          <w:ilvl w:val="1"/>
          <w:numId w:val="7"/>
        </w:numPr>
        <w:rPr>
          <w:color w:val="70AD47" w:themeColor="accent6"/>
        </w:rPr>
      </w:pPr>
      <w:r w:rsidRPr="00A94D83">
        <w:rPr>
          <w:color w:val="70AD47" w:themeColor="accent6"/>
        </w:rPr>
        <w:t>Lo spazio di lavoro</w:t>
      </w:r>
    </w:p>
    <w:p w:rsidR="00A94D83" w:rsidRPr="00A94D83" w:rsidRDefault="00A94D83" w:rsidP="00A94D83">
      <w:pPr>
        <w:pStyle w:val="Paragrafoelenco"/>
        <w:numPr>
          <w:ilvl w:val="1"/>
          <w:numId w:val="7"/>
        </w:numPr>
        <w:rPr>
          <w:color w:val="70AD47" w:themeColor="accent6"/>
        </w:rPr>
      </w:pPr>
      <w:r w:rsidRPr="00A94D83">
        <w:rPr>
          <w:color w:val="70AD47" w:themeColor="accent6"/>
        </w:rPr>
        <w:t>L’interazione web e inserimento dati/contenuti Creazione di un documento</w:t>
      </w:r>
    </w:p>
    <w:p w:rsidR="00A94D83" w:rsidRPr="00A94D83" w:rsidRDefault="00A94D83" w:rsidP="00A94D83">
      <w:pPr>
        <w:pStyle w:val="Paragrafoelenco"/>
        <w:numPr>
          <w:ilvl w:val="0"/>
          <w:numId w:val="7"/>
        </w:numPr>
        <w:rPr>
          <w:color w:val="70AD47" w:themeColor="accent6"/>
        </w:rPr>
      </w:pPr>
      <w:r w:rsidRPr="00A94D83">
        <w:rPr>
          <w:color w:val="70AD47" w:themeColor="accent6"/>
        </w:rPr>
        <w:t>Fare ricerche online</w:t>
      </w:r>
    </w:p>
    <w:p w:rsidR="00A94D83" w:rsidRPr="00A94D83" w:rsidRDefault="00A94D83" w:rsidP="00A94D83">
      <w:pPr>
        <w:pStyle w:val="Paragrafoelenco"/>
        <w:numPr>
          <w:ilvl w:val="1"/>
          <w:numId w:val="7"/>
        </w:numPr>
        <w:rPr>
          <w:color w:val="70AD47" w:themeColor="accent6"/>
        </w:rPr>
      </w:pPr>
      <w:r w:rsidRPr="00A94D83">
        <w:rPr>
          <w:color w:val="70AD47" w:themeColor="accent6"/>
        </w:rPr>
        <w:t>Le tecniche di ricerca</w:t>
      </w:r>
    </w:p>
    <w:p w:rsidR="00A94D83" w:rsidRPr="00A94D83" w:rsidRDefault="00A94D83" w:rsidP="00A94D83">
      <w:pPr>
        <w:pStyle w:val="Paragrafoelenco"/>
        <w:numPr>
          <w:ilvl w:val="1"/>
          <w:numId w:val="7"/>
        </w:numPr>
        <w:rPr>
          <w:color w:val="70AD47" w:themeColor="accent6"/>
        </w:rPr>
      </w:pPr>
      <w:r w:rsidRPr="00A94D83">
        <w:rPr>
          <w:color w:val="70AD47" w:themeColor="accent6"/>
        </w:rPr>
        <w:t>I motori di ricerca</w:t>
      </w:r>
    </w:p>
    <w:p w:rsidR="00A94D83" w:rsidRPr="00A94D83" w:rsidRDefault="00A94D83" w:rsidP="00A94D83">
      <w:pPr>
        <w:pStyle w:val="Paragrafoelenco"/>
        <w:numPr>
          <w:ilvl w:val="0"/>
          <w:numId w:val="7"/>
        </w:numPr>
        <w:rPr>
          <w:color w:val="70AD47" w:themeColor="accent6"/>
        </w:rPr>
      </w:pPr>
      <w:r w:rsidRPr="00A94D83">
        <w:rPr>
          <w:color w:val="70AD47" w:themeColor="accent6"/>
        </w:rPr>
        <w:t>Sicurezza</w:t>
      </w:r>
    </w:p>
    <w:p w:rsidR="00A94D83" w:rsidRPr="00A94D83" w:rsidRDefault="00A94D83" w:rsidP="00A94D83">
      <w:pPr>
        <w:pStyle w:val="Paragrafoelenco"/>
        <w:numPr>
          <w:ilvl w:val="1"/>
          <w:numId w:val="7"/>
        </w:numPr>
        <w:rPr>
          <w:color w:val="70AD47" w:themeColor="accent6"/>
        </w:rPr>
      </w:pPr>
      <w:r w:rsidRPr="00A94D83">
        <w:rPr>
          <w:color w:val="70AD47" w:themeColor="accent6"/>
        </w:rPr>
        <w:t>I filtri e le impostazioni per navigare in sicurezza</w:t>
      </w:r>
    </w:p>
    <w:p w:rsidR="00A94D83" w:rsidRPr="00A94D83" w:rsidRDefault="00A94D83" w:rsidP="00A94D83">
      <w:pPr>
        <w:pStyle w:val="Paragrafoelenco"/>
        <w:numPr>
          <w:ilvl w:val="0"/>
          <w:numId w:val="7"/>
        </w:numPr>
        <w:rPr>
          <w:color w:val="70AD47" w:themeColor="accent6"/>
        </w:rPr>
      </w:pPr>
      <w:r w:rsidRPr="00A94D83">
        <w:rPr>
          <w:color w:val="70AD47" w:themeColor="accent6"/>
        </w:rPr>
        <w:t>Valutazione dell’informazione</w:t>
      </w:r>
    </w:p>
    <w:p w:rsidR="00A94D83" w:rsidRPr="00A94D83" w:rsidRDefault="00A94D83" w:rsidP="00A94D83">
      <w:pPr>
        <w:pStyle w:val="Paragrafoelenco"/>
        <w:numPr>
          <w:ilvl w:val="1"/>
          <w:numId w:val="7"/>
        </w:numPr>
        <w:rPr>
          <w:color w:val="70AD47" w:themeColor="accent6"/>
        </w:rPr>
      </w:pPr>
      <w:r w:rsidRPr="00A94D83">
        <w:rPr>
          <w:color w:val="70AD47" w:themeColor="accent6"/>
        </w:rPr>
        <w:t>Gli strumenti che consentono di valutare efficacemente le informazioni</w:t>
      </w:r>
    </w:p>
    <w:p w:rsidR="00A94D83" w:rsidRPr="00A94D83" w:rsidRDefault="00A94D83" w:rsidP="00A94D83">
      <w:pPr>
        <w:pStyle w:val="Paragrafoelenco"/>
        <w:numPr>
          <w:ilvl w:val="0"/>
          <w:numId w:val="7"/>
        </w:numPr>
        <w:rPr>
          <w:color w:val="70AD47" w:themeColor="accent6"/>
        </w:rPr>
      </w:pPr>
      <w:r w:rsidRPr="00A94D83">
        <w:rPr>
          <w:color w:val="70AD47" w:themeColor="accent6"/>
        </w:rPr>
        <w:t>Servizi online</w:t>
      </w:r>
    </w:p>
    <w:p w:rsidR="00A94D83" w:rsidRPr="00A94D83" w:rsidRDefault="00A94D83" w:rsidP="00A94D83">
      <w:pPr>
        <w:pStyle w:val="Paragrafoelenco"/>
        <w:numPr>
          <w:ilvl w:val="1"/>
          <w:numId w:val="7"/>
        </w:numPr>
        <w:rPr>
          <w:color w:val="70AD47" w:themeColor="accent6"/>
        </w:rPr>
      </w:pPr>
      <w:r w:rsidRPr="00A94D83">
        <w:rPr>
          <w:color w:val="70AD47" w:themeColor="accent6"/>
        </w:rPr>
        <w:t>I servizi più conosciuti ed utilizzati. Come utilizzarli in modo efficace e sicuro</w:t>
      </w:r>
    </w:p>
    <w:p w:rsidR="00A94D83" w:rsidRPr="00A94D83" w:rsidRDefault="00A94D83" w:rsidP="00A94D83">
      <w:pPr>
        <w:pStyle w:val="Paragrafoelenco"/>
        <w:numPr>
          <w:ilvl w:val="0"/>
          <w:numId w:val="8"/>
        </w:numPr>
        <w:spacing w:after="60"/>
        <w:contextualSpacing w:val="0"/>
        <w:rPr>
          <w:b/>
          <w:color w:val="70AD47" w:themeColor="accent6"/>
        </w:rPr>
      </w:pPr>
      <w:r w:rsidRPr="00A94D83">
        <w:rPr>
          <w:b/>
          <w:color w:val="70AD47" w:themeColor="accent6"/>
        </w:rPr>
        <w:t>MODULO 3 - Comunicare in Rete</w:t>
      </w:r>
    </w:p>
    <w:p w:rsidR="00A94D83" w:rsidRPr="00A94D83" w:rsidRDefault="00A94D83" w:rsidP="00A94D83">
      <w:pPr>
        <w:pStyle w:val="Paragrafoelenco"/>
        <w:numPr>
          <w:ilvl w:val="0"/>
          <w:numId w:val="7"/>
        </w:numPr>
        <w:rPr>
          <w:color w:val="70AD47" w:themeColor="accent6"/>
        </w:rPr>
      </w:pPr>
      <w:r w:rsidRPr="00A94D83">
        <w:rPr>
          <w:color w:val="70AD47" w:themeColor="accent6"/>
        </w:rPr>
        <w:t>Configurare un account utente</w:t>
      </w:r>
    </w:p>
    <w:p w:rsidR="00A94D83" w:rsidRPr="00A94D83" w:rsidRDefault="00A94D83" w:rsidP="00A94D83">
      <w:pPr>
        <w:pStyle w:val="Paragrafoelenco"/>
        <w:numPr>
          <w:ilvl w:val="1"/>
          <w:numId w:val="7"/>
        </w:numPr>
        <w:rPr>
          <w:color w:val="70AD47" w:themeColor="accent6"/>
        </w:rPr>
      </w:pPr>
      <w:r w:rsidRPr="00A94D83">
        <w:rPr>
          <w:color w:val="70AD47" w:themeColor="accent6"/>
        </w:rPr>
        <w:t>L’impostazione di un account</w:t>
      </w:r>
    </w:p>
    <w:p w:rsidR="00A94D83" w:rsidRPr="00A94D83" w:rsidRDefault="00A94D83" w:rsidP="00A94D83">
      <w:pPr>
        <w:pStyle w:val="Paragrafoelenco"/>
        <w:numPr>
          <w:ilvl w:val="0"/>
          <w:numId w:val="7"/>
        </w:numPr>
        <w:rPr>
          <w:color w:val="70AD47" w:themeColor="accent6"/>
        </w:rPr>
      </w:pPr>
      <w:r w:rsidRPr="00A94D83">
        <w:rPr>
          <w:color w:val="70AD47" w:themeColor="accent6"/>
        </w:rPr>
        <w:t>Sicurezza nelle comunicazioni online</w:t>
      </w:r>
    </w:p>
    <w:p w:rsidR="00A94D83" w:rsidRPr="00A94D83" w:rsidRDefault="00A94D83" w:rsidP="00A94D83">
      <w:pPr>
        <w:pStyle w:val="Paragrafoelenco"/>
        <w:numPr>
          <w:ilvl w:val="1"/>
          <w:numId w:val="7"/>
        </w:numPr>
        <w:rPr>
          <w:color w:val="70AD47" w:themeColor="accent6"/>
        </w:rPr>
      </w:pPr>
      <w:r w:rsidRPr="00A94D83">
        <w:rPr>
          <w:color w:val="70AD47" w:themeColor="accent6"/>
        </w:rPr>
        <w:t>I rischi derivanti dall’uso degli strumenti di comunicazione</w:t>
      </w:r>
    </w:p>
    <w:p w:rsidR="00A94D83" w:rsidRPr="00A94D83" w:rsidRDefault="00A94D83" w:rsidP="00A94D83">
      <w:pPr>
        <w:pStyle w:val="Paragrafoelenco"/>
        <w:numPr>
          <w:ilvl w:val="0"/>
          <w:numId w:val="7"/>
        </w:numPr>
        <w:rPr>
          <w:color w:val="70AD47" w:themeColor="accent6"/>
        </w:rPr>
      </w:pPr>
      <w:r w:rsidRPr="00A94D83">
        <w:rPr>
          <w:color w:val="70AD47" w:themeColor="accent6"/>
        </w:rPr>
        <w:t>Scambio di informazioni via email</w:t>
      </w:r>
    </w:p>
    <w:p w:rsidR="00A94D83" w:rsidRPr="00A94D83" w:rsidRDefault="00A94D83" w:rsidP="00A94D83">
      <w:pPr>
        <w:pStyle w:val="Paragrafoelenco"/>
        <w:numPr>
          <w:ilvl w:val="1"/>
          <w:numId w:val="7"/>
        </w:numPr>
        <w:rPr>
          <w:color w:val="70AD47" w:themeColor="accent6"/>
        </w:rPr>
      </w:pPr>
      <w:r w:rsidRPr="00A94D83">
        <w:rPr>
          <w:color w:val="70AD47" w:themeColor="accent6"/>
        </w:rPr>
        <w:t>La configurazioni della casella di posta</w:t>
      </w:r>
    </w:p>
    <w:p w:rsidR="00A94D83" w:rsidRPr="00A94D83" w:rsidRDefault="00A94D83" w:rsidP="00A94D83">
      <w:pPr>
        <w:pStyle w:val="Paragrafoelenco"/>
        <w:numPr>
          <w:ilvl w:val="1"/>
          <w:numId w:val="7"/>
        </w:numPr>
        <w:rPr>
          <w:color w:val="70AD47" w:themeColor="accent6"/>
        </w:rPr>
      </w:pPr>
      <w:r w:rsidRPr="00A94D83">
        <w:rPr>
          <w:color w:val="70AD47" w:themeColor="accent6"/>
        </w:rPr>
        <w:t>L’interfaccia utente e gli strumenti più comuni delle email</w:t>
      </w:r>
    </w:p>
    <w:p w:rsidR="00A94D83" w:rsidRPr="00A94D83" w:rsidRDefault="00A94D83" w:rsidP="00A94D83">
      <w:pPr>
        <w:pStyle w:val="Paragrafoelenco"/>
        <w:numPr>
          <w:ilvl w:val="1"/>
          <w:numId w:val="7"/>
        </w:numPr>
        <w:rPr>
          <w:color w:val="70AD47" w:themeColor="accent6"/>
        </w:rPr>
      </w:pPr>
      <w:r w:rsidRPr="00A94D83">
        <w:rPr>
          <w:color w:val="70AD47" w:themeColor="accent6"/>
        </w:rPr>
        <w:t>La creazione, l’invio e la gestione dei messaggi</w:t>
      </w:r>
    </w:p>
    <w:p w:rsidR="00A94D83" w:rsidRPr="00A94D83" w:rsidRDefault="00A94D83" w:rsidP="00A94D83">
      <w:pPr>
        <w:pStyle w:val="Paragrafoelenco"/>
        <w:numPr>
          <w:ilvl w:val="0"/>
          <w:numId w:val="7"/>
        </w:numPr>
        <w:rPr>
          <w:color w:val="70AD47" w:themeColor="accent6"/>
        </w:rPr>
      </w:pPr>
      <w:r w:rsidRPr="00A94D83">
        <w:rPr>
          <w:color w:val="70AD47" w:themeColor="accent6"/>
        </w:rPr>
        <w:t>La gestione dei contatti</w:t>
      </w:r>
    </w:p>
    <w:p w:rsidR="00A94D83" w:rsidRPr="00A94D83" w:rsidRDefault="00A94D83" w:rsidP="00A94D83">
      <w:pPr>
        <w:pStyle w:val="Paragrafoelenco"/>
        <w:numPr>
          <w:ilvl w:val="1"/>
          <w:numId w:val="7"/>
        </w:numPr>
        <w:rPr>
          <w:color w:val="70AD47" w:themeColor="accent6"/>
        </w:rPr>
      </w:pPr>
      <w:r w:rsidRPr="00A94D83">
        <w:rPr>
          <w:color w:val="70AD47" w:themeColor="accent6"/>
        </w:rPr>
        <w:t>La creazione e l’organizzazione della lista dei propri contatti</w:t>
      </w:r>
    </w:p>
    <w:p w:rsidR="00A94D83" w:rsidRPr="00A94D83" w:rsidRDefault="00A94D83" w:rsidP="00A94D83">
      <w:pPr>
        <w:pStyle w:val="Paragrafoelenco"/>
        <w:numPr>
          <w:ilvl w:val="1"/>
          <w:numId w:val="7"/>
        </w:numPr>
        <w:rPr>
          <w:color w:val="70AD47" w:themeColor="accent6"/>
        </w:rPr>
      </w:pPr>
      <w:r w:rsidRPr="00A94D83">
        <w:rPr>
          <w:color w:val="70AD47" w:themeColor="accent6"/>
        </w:rPr>
        <w:t>L’aggiornamento e la sincronizzazione dei propri contatti</w:t>
      </w:r>
    </w:p>
    <w:p w:rsidR="00A94D83" w:rsidRPr="00A94D83" w:rsidRDefault="00A94D83" w:rsidP="00A94D83">
      <w:pPr>
        <w:pStyle w:val="Paragrafoelenco"/>
        <w:numPr>
          <w:ilvl w:val="0"/>
          <w:numId w:val="7"/>
        </w:numPr>
        <w:rPr>
          <w:color w:val="70AD47" w:themeColor="accent6"/>
        </w:rPr>
      </w:pPr>
      <w:r w:rsidRPr="00A94D83">
        <w:rPr>
          <w:color w:val="70AD47" w:themeColor="accent6"/>
        </w:rPr>
        <w:t>Pianificazione</w:t>
      </w:r>
    </w:p>
    <w:p w:rsidR="00A94D83" w:rsidRPr="00A94D83" w:rsidRDefault="00A94D83" w:rsidP="00A94D83">
      <w:pPr>
        <w:pStyle w:val="Paragrafoelenco"/>
        <w:numPr>
          <w:ilvl w:val="1"/>
          <w:numId w:val="7"/>
        </w:numPr>
        <w:rPr>
          <w:color w:val="70AD47" w:themeColor="accent6"/>
        </w:rPr>
      </w:pPr>
      <w:r w:rsidRPr="00A94D83">
        <w:rPr>
          <w:color w:val="70AD47" w:themeColor="accent6"/>
        </w:rPr>
        <w:t>L’utilizzo quotidiano dei calendari</w:t>
      </w:r>
    </w:p>
    <w:p w:rsidR="00A94D83" w:rsidRPr="00A94D83" w:rsidRDefault="00A94D83" w:rsidP="00A94D83">
      <w:pPr>
        <w:pStyle w:val="Paragrafoelenco"/>
        <w:numPr>
          <w:ilvl w:val="1"/>
          <w:numId w:val="7"/>
        </w:numPr>
        <w:rPr>
          <w:color w:val="70AD47" w:themeColor="accent6"/>
        </w:rPr>
      </w:pPr>
      <w:r w:rsidRPr="00A94D83">
        <w:rPr>
          <w:color w:val="70AD47" w:themeColor="accent6"/>
        </w:rPr>
        <w:t>La gestione degli eventi</w:t>
      </w:r>
    </w:p>
    <w:p w:rsidR="00A94D83" w:rsidRPr="00A94D83" w:rsidRDefault="00A94D83" w:rsidP="00A94D83">
      <w:pPr>
        <w:pStyle w:val="Paragrafoelenco"/>
        <w:numPr>
          <w:ilvl w:val="0"/>
          <w:numId w:val="7"/>
        </w:numPr>
        <w:rPr>
          <w:color w:val="70AD47" w:themeColor="accent6"/>
        </w:rPr>
      </w:pPr>
      <w:r w:rsidRPr="00A94D83">
        <w:rPr>
          <w:color w:val="70AD47" w:themeColor="accent6"/>
        </w:rPr>
        <w:t>Collaborazione online e interazione sociale</w:t>
      </w:r>
    </w:p>
    <w:p w:rsidR="00A94D83" w:rsidRPr="00A94D83" w:rsidRDefault="00A94D83" w:rsidP="00A94D83">
      <w:pPr>
        <w:pStyle w:val="Paragrafoelenco"/>
        <w:numPr>
          <w:ilvl w:val="1"/>
          <w:numId w:val="7"/>
        </w:numPr>
        <w:rPr>
          <w:color w:val="70AD47" w:themeColor="accent6"/>
        </w:rPr>
      </w:pPr>
      <w:r w:rsidRPr="00A94D83">
        <w:rPr>
          <w:color w:val="70AD47" w:themeColor="accent6"/>
        </w:rPr>
        <w:t>I servizi di messaggistica e le relative applicazioni</w:t>
      </w:r>
    </w:p>
    <w:p w:rsidR="00A94D83" w:rsidRPr="00A94D83" w:rsidRDefault="00A94D83" w:rsidP="00A94D83">
      <w:pPr>
        <w:pStyle w:val="Paragrafoelenco"/>
        <w:numPr>
          <w:ilvl w:val="1"/>
          <w:numId w:val="7"/>
        </w:numPr>
        <w:rPr>
          <w:color w:val="70AD47" w:themeColor="accent6"/>
        </w:rPr>
      </w:pPr>
      <w:r w:rsidRPr="00A94D83">
        <w:rPr>
          <w:color w:val="70AD47" w:themeColor="accent6"/>
        </w:rPr>
        <w:t>Le riunioni online</w:t>
      </w:r>
    </w:p>
    <w:p w:rsidR="00A94D83" w:rsidRPr="00A94D83" w:rsidRDefault="00A94D83" w:rsidP="00A94D83">
      <w:pPr>
        <w:pStyle w:val="Paragrafoelenco"/>
        <w:numPr>
          <w:ilvl w:val="1"/>
          <w:numId w:val="7"/>
        </w:numPr>
        <w:rPr>
          <w:color w:val="70AD47" w:themeColor="accent6"/>
        </w:rPr>
      </w:pPr>
      <w:r w:rsidRPr="00A94D83">
        <w:rPr>
          <w:color w:val="70AD47" w:themeColor="accent6"/>
        </w:rPr>
        <w:t>I blog</w:t>
      </w:r>
    </w:p>
    <w:p w:rsidR="00A94D83" w:rsidRPr="00A94D83" w:rsidRDefault="00A94D83" w:rsidP="00A94D83">
      <w:pPr>
        <w:pStyle w:val="Paragrafoelenco"/>
        <w:numPr>
          <w:ilvl w:val="1"/>
          <w:numId w:val="7"/>
        </w:numPr>
        <w:rPr>
          <w:color w:val="70AD47" w:themeColor="accent6"/>
        </w:rPr>
      </w:pPr>
      <w:r w:rsidRPr="00A94D83">
        <w:rPr>
          <w:color w:val="70AD47" w:themeColor="accent6"/>
        </w:rPr>
        <w:t xml:space="preserve">I </w:t>
      </w:r>
      <w:proofErr w:type="spellStart"/>
      <w:r w:rsidRPr="00A94D83">
        <w:rPr>
          <w:color w:val="70AD47" w:themeColor="accent6"/>
        </w:rPr>
        <w:t>webinar</w:t>
      </w:r>
      <w:proofErr w:type="spellEnd"/>
    </w:p>
    <w:p w:rsidR="00A94D83" w:rsidRPr="00A94D83" w:rsidRDefault="00A94D83" w:rsidP="00A94D83">
      <w:pPr>
        <w:pStyle w:val="Paragrafoelenco"/>
        <w:numPr>
          <w:ilvl w:val="1"/>
          <w:numId w:val="7"/>
        </w:numPr>
        <w:rPr>
          <w:i/>
          <w:color w:val="70AD47" w:themeColor="accent6"/>
        </w:rPr>
      </w:pPr>
      <w:r w:rsidRPr="00A94D83">
        <w:rPr>
          <w:i/>
          <w:color w:val="70AD47" w:themeColor="accent6"/>
        </w:rPr>
        <w:t>I social network</w:t>
      </w:r>
    </w:p>
    <w:p w:rsidR="00A94D83" w:rsidRPr="00A94D83" w:rsidRDefault="00A94D83" w:rsidP="00A94D83">
      <w:pPr>
        <w:pStyle w:val="Paragrafoelenco"/>
        <w:numPr>
          <w:ilvl w:val="0"/>
          <w:numId w:val="8"/>
        </w:numPr>
        <w:spacing w:after="60"/>
        <w:contextualSpacing w:val="0"/>
        <w:rPr>
          <w:b/>
          <w:color w:val="70AD47" w:themeColor="accent6"/>
        </w:rPr>
      </w:pPr>
      <w:r w:rsidRPr="00A94D83">
        <w:rPr>
          <w:b/>
          <w:color w:val="70AD47" w:themeColor="accent6"/>
        </w:rPr>
        <w:t>MODULO 4 – Elaborare testi</w:t>
      </w:r>
    </w:p>
    <w:p w:rsidR="00A94D83" w:rsidRPr="00A94D83" w:rsidRDefault="00A94D83" w:rsidP="00A94D83">
      <w:pPr>
        <w:pStyle w:val="Paragrafoelenco"/>
        <w:numPr>
          <w:ilvl w:val="0"/>
          <w:numId w:val="7"/>
        </w:numPr>
        <w:rPr>
          <w:color w:val="70AD47" w:themeColor="accent6"/>
        </w:rPr>
      </w:pPr>
      <w:r w:rsidRPr="00A94D83">
        <w:rPr>
          <w:color w:val="70AD47" w:themeColor="accent6"/>
        </w:rPr>
        <w:t>Creare un documento</w:t>
      </w:r>
    </w:p>
    <w:p w:rsidR="00A94D83" w:rsidRPr="00A94D83" w:rsidRDefault="00A94D83" w:rsidP="00A94D83">
      <w:pPr>
        <w:pStyle w:val="Paragrafoelenco"/>
        <w:numPr>
          <w:ilvl w:val="1"/>
          <w:numId w:val="7"/>
        </w:numPr>
        <w:rPr>
          <w:color w:val="70AD47" w:themeColor="accent6"/>
        </w:rPr>
      </w:pPr>
      <w:r w:rsidRPr="00A94D83">
        <w:rPr>
          <w:color w:val="70AD47" w:themeColor="accent6"/>
        </w:rPr>
        <w:t>L’interfaccia e gli strumenti comuni</w:t>
      </w:r>
    </w:p>
    <w:p w:rsidR="00A94D83" w:rsidRPr="00A94D83" w:rsidRDefault="00A94D83" w:rsidP="00A94D83">
      <w:pPr>
        <w:pStyle w:val="Paragrafoelenco"/>
        <w:numPr>
          <w:ilvl w:val="1"/>
          <w:numId w:val="7"/>
        </w:numPr>
        <w:rPr>
          <w:color w:val="70AD47" w:themeColor="accent6"/>
        </w:rPr>
      </w:pPr>
      <w:r w:rsidRPr="00A94D83">
        <w:rPr>
          <w:color w:val="70AD47" w:themeColor="accent6"/>
        </w:rPr>
        <w:t>La creazione e la strutturazione del contenuto del documento</w:t>
      </w:r>
    </w:p>
    <w:p w:rsidR="00A94D83" w:rsidRPr="00A94D83" w:rsidRDefault="00A94D83" w:rsidP="00A94D83">
      <w:pPr>
        <w:pStyle w:val="Paragrafoelenco"/>
        <w:numPr>
          <w:ilvl w:val="1"/>
          <w:numId w:val="7"/>
        </w:numPr>
        <w:rPr>
          <w:color w:val="70AD47" w:themeColor="accent6"/>
        </w:rPr>
      </w:pPr>
      <w:r w:rsidRPr="00A94D83">
        <w:rPr>
          <w:color w:val="70AD47" w:themeColor="accent6"/>
        </w:rPr>
        <w:lastRenderedPageBreak/>
        <w:t>La modifica del contenuto del documento</w:t>
      </w:r>
    </w:p>
    <w:p w:rsidR="00A94D83" w:rsidRPr="00A94D83" w:rsidRDefault="00A94D83" w:rsidP="00A94D83">
      <w:pPr>
        <w:pStyle w:val="Paragrafoelenco"/>
        <w:numPr>
          <w:ilvl w:val="1"/>
          <w:numId w:val="7"/>
        </w:numPr>
        <w:rPr>
          <w:color w:val="70AD47" w:themeColor="accent6"/>
        </w:rPr>
      </w:pPr>
      <w:r w:rsidRPr="00A94D83">
        <w:rPr>
          <w:color w:val="70AD47" w:themeColor="accent6"/>
        </w:rPr>
        <w:t>La creazione e rielaborazione delle illustrazioni</w:t>
      </w:r>
    </w:p>
    <w:p w:rsidR="00A94D83" w:rsidRPr="00A94D83" w:rsidRDefault="00A94D83" w:rsidP="00A94D83">
      <w:pPr>
        <w:pStyle w:val="Paragrafoelenco"/>
        <w:numPr>
          <w:ilvl w:val="0"/>
          <w:numId w:val="7"/>
        </w:numPr>
        <w:rPr>
          <w:color w:val="70AD47" w:themeColor="accent6"/>
        </w:rPr>
      </w:pPr>
      <w:r w:rsidRPr="00A94D83">
        <w:rPr>
          <w:color w:val="70AD47" w:themeColor="accent6"/>
        </w:rPr>
        <w:t>Organizzare il contenuto del documento</w:t>
      </w:r>
    </w:p>
    <w:p w:rsidR="00A94D83" w:rsidRPr="00A94D83" w:rsidRDefault="00A94D83" w:rsidP="00A94D83">
      <w:pPr>
        <w:pStyle w:val="Paragrafoelenco"/>
        <w:numPr>
          <w:ilvl w:val="1"/>
          <w:numId w:val="7"/>
        </w:numPr>
        <w:rPr>
          <w:color w:val="70AD47" w:themeColor="accent6"/>
        </w:rPr>
      </w:pPr>
      <w:r w:rsidRPr="00A94D83">
        <w:rPr>
          <w:color w:val="70AD47" w:themeColor="accent6"/>
        </w:rPr>
        <w:t>Gli strumenti necessari per organizzare in maniera logica il contenuto</w:t>
      </w:r>
    </w:p>
    <w:p w:rsidR="00A94D83" w:rsidRPr="00A94D83" w:rsidRDefault="00A94D83" w:rsidP="00A94D83">
      <w:pPr>
        <w:pStyle w:val="Paragrafoelenco"/>
        <w:numPr>
          <w:ilvl w:val="1"/>
          <w:numId w:val="7"/>
        </w:numPr>
        <w:rPr>
          <w:color w:val="70AD47" w:themeColor="accent6"/>
        </w:rPr>
      </w:pPr>
      <w:r w:rsidRPr="00A94D83">
        <w:rPr>
          <w:color w:val="70AD47" w:themeColor="accent6"/>
        </w:rPr>
        <w:t>I sistemi di riferimento</w:t>
      </w:r>
    </w:p>
    <w:p w:rsidR="00A94D83" w:rsidRPr="00A94D83" w:rsidRDefault="00A94D83" w:rsidP="00A94D83">
      <w:pPr>
        <w:pStyle w:val="Paragrafoelenco"/>
        <w:numPr>
          <w:ilvl w:val="1"/>
          <w:numId w:val="7"/>
        </w:numPr>
        <w:rPr>
          <w:color w:val="70AD47" w:themeColor="accent6"/>
        </w:rPr>
      </w:pPr>
      <w:r w:rsidRPr="00A94D83">
        <w:rPr>
          <w:color w:val="70AD47" w:themeColor="accent6"/>
        </w:rPr>
        <w:t>Gli strumenti necessari per collegare e inserire contenuti</w:t>
      </w:r>
    </w:p>
    <w:p w:rsidR="00A94D83" w:rsidRPr="00A94D83" w:rsidRDefault="00A94D83" w:rsidP="00A94D83">
      <w:pPr>
        <w:pStyle w:val="Paragrafoelenco"/>
        <w:numPr>
          <w:ilvl w:val="0"/>
          <w:numId w:val="7"/>
        </w:numPr>
        <w:rPr>
          <w:color w:val="70AD47" w:themeColor="accent6"/>
        </w:rPr>
      </w:pPr>
      <w:r w:rsidRPr="00A94D83">
        <w:rPr>
          <w:color w:val="70AD47" w:themeColor="accent6"/>
        </w:rPr>
        <w:t>Cooperazione e interazione</w:t>
      </w:r>
    </w:p>
    <w:p w:rsidR="00A94D83" w:rsidRPr="00A94D83" w:rsidRDefault="00A94D83" w:rsidP="00A94D83">
      <w:pPr>
        <w:pStyle w:val="Paragrafoelenco"/>
        <w:numPr>
          <w:ilvl w:val="1"/>
          <w:numId w:val="7"/>
        </w:numPr>
        <w:rPr>
          <w:color w:val="70AD47" w:themeColor="accent6"/>
        </w:rPr>
      </w:pPr>
      <w:r w:rsidRPr="00A94D83">
        <w:rPr>
          <w:color w:val="70AD47" w:themeColor="accent6"/>
        </w:rPr>
        <w:t>Gli strumenti tramite cui collaborare nella redazione e revisione di contenuti</w:t>
      </w:r>
    </w:p>
    <w:p w:rsidR="00A94D83" w:rsidRPr="00A94D83" w:rsidRDefault="00A94D83" w:rsidP="00A94D83">
      <w:pPr>
        <w:pStyle w:val="Paragrafoelenco"/>
        <w:numPr>
          <w:ilvl w:val="1"/>
          <w:numId w:val="7"/>
        </w:numPr>
        <w:rPr>
          <w:color w:val="70AD47" w:themeColor="accent6"/>
        </w:rPr>
      </w:pPr>
      <w:r w:rsidRPr="00A94D83">
        <w:rPr>
          <w:color w:val="70AD47" w:themeColor="accent6"/>
        </w:rPr>
        <w:t>La creazione e l’utilizzo di moduli</w:t>
      </w:r>
    </w:p>
    <w:p w:rsidR="00A94D83" w:rsidRPr="00A94D83" w:rsidRDefault="00A94D83" w:rsidP="00A94D83">
      <w:pPr>
        <w:pStyle w:val="Paragrafoelenco"/>
        <w:numPr>
          <w:ilvl w:val="0"/>
          <w:numId w:val="7"/>
        </w:numPr>
        <w:rPr>
          <w:color w:val="70AD47" w:themeColor="accent6"/>
        </w:rPr>
      </w:pPr>
      <w:r w:rsidRPr="00A94D83">
        <w:rPr>
          <w:color w:val="70AD47" w:themeColor="accent6"/>
        </w:rPr>
        <w:t>Automazione del documento</w:t>
      </w:r>
    </w:p>
    <w:p w:rsidR="00A94D83" w:rsidRPr="00A94D83" w:rsidRDefault="00A94D83" w:rsidP="00A94D83">
      <w:pPr>
        <w:pStyle w:val="Paragrafoelenco"/>
        <w:numPr>
          <w:ilvl w:val="1"/>
          <w:numId w:val="7"/>
        </w:numPr>
        <w:rPr>
          <w:color w:val="70AD47" w:themeColor="accent6"/>
        </w:rPr>
      </w:pPr>
      <w:r w:rsidRPr="00A94D83">
        <w:rPr>
          <w:color w:val="70AD47" w:themeColor="accent6"/>
        </w:rPr>
        <w:t>L’utilizzo della stampa unione</w:t>
      </w:r>
    </w:p>
    <w:p w:rsidR="00A94D83" w:rsidRPr="00A94D83" w:rsidRDefault="00A94D83" w:rsidP="00A94D83">
      <w:pPr>
        <w:pStyle w:val="Paragrafoelenco"/>
        <w:numPr>
          <w:ilvl w:val="1"/>
          <w:numId w:val="7"/>
        </w:numPr>
        <w:rPr>
          <w:color w:val="70AD47" w:themeColor="accent6"/>
        </w:rPr>
      </w:pPr>
      <w:r w:rsidRPr="00A94D83">
        <w:rPr>
          <w:color w:val="70AD47" w:themeColor="accent6"/>
        </w:rPr>
        <w:t>Gli strumenti di automazione</w:t>
      </w:r>
    </w:p>
    <w:p w:rsidR="00A94D83" w:rsidRPr="00A94D83" w:rsidRDefault="00A94D83" w:rsidP="00A94D83">
      <w:pPr>
        <w:pStyle w:val="Paragrafoelenco"/>
        <w:numPr>
          <w:ilvl w:val="0"/>
          <w:numId w:val="7"/>
        </w:numPr>
        <w:rPr>
          <w:color w:val="70AD47" w:themeColor="accent6"/>
        </w:rPr>
      </w:pPr>
      <w:r w:rsidRPr="00A94D83">
        <w:rPr>
          <w:color w:val="70AD47" w:themeColor="accent6"/>
        </w:rPr>
        <w:t>Documenti in uscita e archiviazione</w:t>
      </w:r>
    </w:p>
    <w:p w:rsidR="00A94D83" w:rsidRPr="00A94D83" w:rsidRDefault="00A94D83" w:rsidP="00A94D83">
      <w:pPr>
        <w:pStyle w:val="Paragrafoelenco"/>
        <w:numPr>
          <w:ilvl w:val="1"/>
          <w:numId w:val="7"/>
        </w:numPr>
        <w:rPr>
          <w:color w:val="70AD47" w:themeColor="accent6"/>
        </w:rPr>
      </w:pPr>
      <w:r w:rsidRPr="00A94D83">
        <w:rPr>
          <w:color w:val="70AD47" w:themeColor="accent6"/>
        </w:rPr>
        <w:t>L’utilizzo delle funzioni di protezione del documento</w:t>
      </w:r>
    </w:p>
    <w:p w:rsidR="00A94D83" w:rsidRPr="00A94D83" w:rsidRDefault="00A94D83" w:rsidP="00A94D83">
      <w:pPr>
        <w:pStyle w:val="Paragrafoelenco"/>
        <w:numPr>
          <w:ilvl w:val="1"/>
          <w:numId w:val="7"/>
        </w:numPr>
        <w:rPr>
          <w:color w:val="70AD47" w:themeColor="accent6"/>
        </w:rPr>
      </w:pPr>
      <w:r w:rsidRPr="00A94D83">
        <w:rPr>
          <w:color w:val="70AD47" w:themeColor="accent6"/>
        </w:rPr>
        <w:t>La creazione e l’archiviazione di documenti</w:t>
      </w:r>
    </w:p>
    <w:p w:rsidR="00351B52" w:rsidRPr="00B87343" w:rsidRDefault="00351B52" w:rsidP="00E86E3A">
      <w:pPr>
        <w:autoSpaceDE w:val="0"/>
        <w:autoSpaceDN w:val="0"/>
        <w:adjustRightInd w:val="0"/>
        <w:spacing w:afterLines="60" w:after="144" w:line="240" w:lineRule="auto"/>
        <w:rPr>
          <w:rFonts w:cs="HelveticaNeue"/>
        </w:rPr>
      </w:pPr>
      <w:r w:rsidRPr="00B87343">
        <w:rPr>
          <w:rFonts w:cs="HelveticaNeue"/>
        </w:rPr>
        <w:t xml:space="preserve">7. </w:t>
      </w:r>
      <w:r w:rsidRPr="00B87343">
        <w:rPr>
          <w:rFonts w:cs="HelveticaNeue-Bold"/>
          <w:b/>
          <w:bCs/>
        </w:rPr>
        <w:t>Data prevista di inizio delle attività</w:t>
      </w:r>
      <w:r w:rsidRPr="00B87343">
        <w:rPr>
          <w:rFonts w:cs="HelveticaNeue"/>
        </w:rPr>
        <w:t>: a cura della scuola.</w:t>
      </w:r>
    </w:p>
    <w:p w:rsidR="00351B52" w:rsidRPr="00B87343" w:rsidRDefault="00351B52" w:rsidP="00E86E3A">
      <w:pPr>
        <w:autoSpaceDE w:val="0"/>
        <w:autoSpaceDN w:val="0"/>
        <w:adjustRightInd w:val="0"/>
        <w:spacing w:afterLines="60" w:after="144" w:line="240" w:lineRule="auto"/>
        <w:ind w:left="284" w:hanging="284"/>
      </w:pPr>
      <w:r w:rsidRPr="00B87343">
        <w:rPr>
          <w:rFonts w:cs="HelveticaNeue"/>
        </w:rPr>
        <w:t xml:space="preserve">8. </w:t>
      </w:r>
      <w:r w:rsidRPr="00B87343">
        <w:rPr>
          <w:rFonts w:cs="HelveticaNeue-Bold"/>
          <w:b/>
          <w:bCs/>
        </w:rPr>
        <w:t>Data prevista di fine delle attività</w:t>
      </w:r>
      <w:r w:rsidRPr="00B87343">
        <w:rPr>
          <w:rFonts w:cs="HelveticaNeue"/>
        </w:rPr>
        <w:t>: a cura della scuola.</w:t>
      </w:r>
      <w:r w:rsidR="00FC06BE" w:rsidRPr="00B87343">
        <w:rPr>
          <w:rFonts w:cs="HelveticaNeue"/>
        </w:rPr>
        <w:t xml:space="preserve"> </w:t>
      </w:r>
    </w:p>
    <w:sectPr w:rsidR="00351B52" w:rsidRPr="00B87343" w:rsidSect="003A6921">
      <w:headerReference w:type="default" r:id="rId7"/>
      <w:footerReference w:type="default" r:id="rId8"/>
      <w:pgSz w:w="11906" w:h="16838"/>
      <w:pgMar w:top="709" w:right="1134" w:bottom="1134" w:left="1134" w:header="426"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09" w:rsidRDefault="00287309" w:rsidP="00E62B70">
      <w:pPr>
        <w:spacing w:after="0" w:line="240" w:lineRule="auto"/>
      </w:pPr>
      <w:r>
        <w:separator/>
      </w:r>
    </w:p>
  </w:endnote>
  <w:endnote w:type="continuationSeparator" w:id="0">
    <w:p w:rsidR="00287309" w:rsidRDefault="00287309" w:rsidP="00E6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Italic">
    <w:panose1 w:val="00000000000000000000"/>
    <w:charset w:val="00"/>
    <w:family w:val="auto"/>
    <w:notTrueType/>
    <w:pitch w:val="default"/>
    <w:sig w:usb0="00000003" w:usb1="00000000" w:usb2="00000000" w:usb3="00000000" w:csb0="00000001" w:csb1="00000000"/>
  </w:font>
  <w:font w:name="Corbel,Bold">
    <w:panose1 w:val="00000000000000000000"/>
    <w:charset w:val="00"/>
    <w:family w:val="auto"/>
    <w:notTrueType/>
    <w:pitch w:val="default"/>
    <w:sig w:usb0="00000003" w:usb1="00000000" w:usb2="00000000" w:usb3="00000000" w:csb0="00000001" w:csb1="00000000"/>
  </w:font>
  <w:font w:name="Corbel,BoldItalic">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70" w:rsidRPr="00E62B70" w:rsidRDefault="00E62B70">
    <w:pPr>
      <w:pStyle w:val="Pidipagina"/>
      <w:jc w:val="center"/>
      <w:rPr>
        <w:caps/>
      </w:rPr>
    </w:pPr>
    <w:r w:rsidRPr="00E62B70">
      <w:rPr>
        <w:caps/>
      </w:rPr>
      <w:fldChar w:fldCharType="begin"/>
    </w:r>
    <w:r w:rsidRPr="00E62B70">
      <w:rPr>
        <w:caps/>
      </w:rPr>
      <w:instrText>PAGE   \* MERGEFORMAT</w:instrText>
    </w:r>
    <w:r w:rsidRPr="00E62B70">
      <w:rPr>
        <w:caps/>
      </w:rPr>
      <w:fldChar w:fldCharType="separate"/>
    </w:r>
    <w:r w:rsidR="00C31165">
      <w:rPr>
        <w:caps/>
        <w:noProof/>
      </w:rPr>
      <w:t>8</w:t>
    </w:r>
    <w:r w:rsidRPr="00E62B70">
      <w:rPr>
        <w:caps/>
      </w:rPr>
      <w:fldChar w:fldCharType="end"/>
    </w:r>
  </w:p>
  <w:p w:rsidR="00E62B70" w:rsidRDefault="00E62B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09" w:rsidRDefault="00287309" w:rsidP="00E62B70">
      <w:pPr>
        <w:spacing w:after="0" w:line="240" w:lineRule="auto"/>
      </w:pPr>
      <w:r>
        <w:separator/>
      </w:r>
    </w:p>
  </w:footnote>
  <w:footnote w:type="continuationSeparator" w:id="0">
    <w:p w:rsidR="00287309" w:rsidRDefault="00287309" w:rsidP="00E62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87" w:rsidRDefault="00144287" w:rsidP="00144287">
    <w:pPr>
      <w:pStyle w:val="Intestazione"/>
      <w:spacing w:after="240"/>
      <w:jc w:val="right"/>
    </w:pPr>
    <w:r>
      <w:rPr>
        <w:rFonts w:ascii="HelveticaNeue" w:hAnsi="HelveticaNeue" w:cs="HelveticaNeue"/>
        <w:noProof/>
        <w:sz w:val="36"/>
        <w:szCs w:val="36"/>
        <w:lang w:eastAsia="it-IT"/>
      </w:rPr>
      <w:drawing>
        <wp:inline distT="0" distB="0" distL="0" distR="0" wp14:anchorId="0EEEFD9D" wp14:editId="01843293">
          <wp:extent cx="813917" cy="433093"/>
          <wp:effectExtent l="0" t="0" r="571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21550" cy="4371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8B7"/>
    <w:multiLevelType w:val="hybridMultilevel"/>
    <w:tmpl w:val="8C540178"/>
    <w:lvl w:ilvl="0" w:tplc="04100005">
      <w:start w:val="1"/>
      <w:numFmt w:val="bullet"/>
      <w:lvlText w:val=""/>
      <w:lvlJc w:val="left"/>
      <w:pPr>
        <w:ind w:left="1068" w:hanging="360"/>
      </w:pPr>
      <w:rPr>
        <w:rFonts w:ascii="Wingdings" w:hAnsi="Wingdings" w:hint="default"/>
      </w:rPr>
    </w:lvl>
    <w:lvl w:ilvl="1" w:tplc="04100005">
      <w:start w:val="1"/>
      <w:numFmt w:val="bullet"/>
      <w:lvlText w:val=""/>
      <w:lvlJc w:val="left"/>
      <w:pPr>
        <w:ind w:left="1788" w:hanging="360"/>
      </w:pPr>
      <w:rPr>
        <w:rFonts w:ascii="Wingdings" w:hAnsi="Wingding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609305D"/>
    <w:multiLevelType w:val="hybridMultilevel"/>
    <w:tmpl w:val="2C6A40DA"/>
    <w:lvl w:ilvl="0" w:tplc="C6066A72">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nsid w:val="1D8771E1"/>
    <w:multiLevelType w:val="hybridMultilevel"/>
    <w:tmpl w:val="16A64CAA"/>
    <w:lvl w:ilvl="0" w:tplc="D1B00656">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BE14C9"/>
    <w:multiLevelType w:val="hybridMultilevel"/>
    <w:tmpl w:val="17A0B4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5037049"/>
    <w:multiLevelType w:val="hybridMultilevel"/>
    <w:tmpl w:val="E91EAEA8"/>
    <w:lvl w:ilvl="0" w:tplc="04100005">
      <w:start w:val="1"/>
      <w:numFmt w:val="bullet"/>
      <w:lvlText w:val=""/>
      <w:lvlJc w:val="left"/>
      <w:pPr>
        <w:ind w:left="1068" w:hanging="360"/>
      </w:pPr>
      <w:rPr>
        <w:rFonts w:ascii="Wingdings" w:hAnsi="Wingdings" w:hint="default"/>
      </w:rPr>
    </w:lvl>
    <w:lvl w:ilvl="1" w:tplc="137034B6">
      <w:start w:val="1"/>
      <w:numFmt w:val="bullet"/>
      <w:lvlText w:val=""/>
      <w:lvlJc w:val="left"/>
      <w:pPr>
        <w:ind w:left="1788" w:hanging="360"/>
      </w:pPr>
      <w:rPr>
        <w:rFonts w:ascii="Wingdings" w:hAnsi="Wingdings" w:hint="default"/>
        <w:sz w:val="28"/>
        <w:u w:color="2E74B5" w:themeColor="accent1" w:themeShade="BF"/>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44610853"/>
    <w:multiLevelType w:val="hybridMultilevel"/>
    <w:tmpl w:val="0DBA0B32"/>
    <w:lvl w:ilvl="0" w:tplc="04100005">
      <w:start w:val="1"/>
      <w:numFmt w:val="bullet"/>
      <w:lvlText w:val=""/>
      <w:lvlJc w:val="left"/>
      <w:pPr>
        <w:ind w:left="1068" w:hanging="360"/>
      </w:pPr>
      <w:rPr>
        <w:rFonts w:ascii="Wingdings" w:hAnsi="Wingding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649F7EC4"/>
    <w:multiLevelType w:val="hybridMultilevel"/>
    <w:tmpl w:val="167CE8D2"/>
    <w:lvl w:ilvl="0" w:tplc="54466B3C">
      <w:start w:val="1"/>
      <w:numFmt w:val="bullet"/>
      <w:lvlText w:val=""/>
      <w:lvlJc w:val="left"/>
      <w:pPr>
        <w:ind w:left="720" w:hanging="360"/>
      </w:pPr>
      <w:rPr>
        <w:rFonts w:ascii="Wingdings" w:hAnsi="Wingdings" w:hint="default"/>
        <w:color w:val="222A35" w:themeColor="text2" w:themeShade="80"/>
        <w:sz w:val="24"/>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3F670AE"/>
    <w:multiLevelType w:val="hybridMultilevel"/>
    <w:tmpl w:val="3AF2B1C6"/>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F7"/>
    <w:rsid w:val="00027B25"/>
    <w:rsid w:val="00035E7C"/>
    <w:rsid w:val="00045BBF"/>
    <w:rsid w:val="000D3FA6"/>
    <w:rsid w:val="000D6081"/>
    <w:rsid w:val="00144287"/>
    <w:rsid w:val="001700D0"/>
    <w:rsid w:val="001926CC"/>
    <w:rsid w:val="001C00D4"/>
    <w:rsid w:val="001C3CA1"/>
    <w:rsid w:val="00224004"/>
    <w:rsid w:val="00236628"/>
    <w:rsid w:val="00254313"/>
    <w:rsid w:val="0026073D"/>
    <w:rsid w:val="0027664F"/>
    <w:rsid w:val="00287309"/>
    <w:rsid w:val="002C0933"/>
    <w:rsid w:val="002E417E"/>
    <w:rsid w:val="0030717F"/>
    <w:rsid w:val="00341D7B"/>
    <w:rsid w:val="00351B52"/>
    <w:rsid w:val="00374038"/>
    <w:rsid w:val="00377615"/>
    <w:rsid w:val="00384292"/>
    <w:rsid w:val="003867D9"/>
    <w:rsid w:val="003A6921"/>
    <w:rsid w:val="003C536B"/>
    <w:rsid w:val="003F0DFE"/>
    <w:rsid w:val="004830F5"/>
    <w:rsid w:val="0049433A"/>
    <w:rsid w:val="00495DB7"/>
    <w:rsid w:val="004B4F96"/>
    <w:rsid w:val="004B6FD9"/>
    <w:rsid w:val="004F15EF"/>
    <w:rsid w:val="004F4859"/>
    <w:rsid w:val="00507070"/>
    <w:rsid w:val="00511A63"/>
    <w:rsid w:val="00514BCB"/>
    <w:rsid w:val="00522EF3"/>
    <w:rsid w:val="00536B62"/>
    <w:rsid w:val="00566E5B"/>
    <w:rsid w:val="00573559"/>
    <w:rsid w:val="005835D1"/>
    <w:rsid w:val="00583F94"/>
    <w:rsid w:val="005B0EB8"/>
    <w:rsid w:val="0060039B"/>
    <w:rsid w:val="006062B1"/>
    <w:rsid w:val="00655597"/>
    <w:rsid w:val="0066763E"/>
    <w:rsid w:val="00680BD8"/>
    <w:rsid w:val="006B4E54"/>
    <w:rsid w:val="006D7F4C"/>
    <w:rsid w:val="0073125A"/>
    <w:rsid w:val="0074046E"/>
    <w:rsid w:val="007B50B3"/>
    <w:rsid w:val="007C36EC"/>
    <w:rsid w:val="00803407"/>
    <w:rsid w:val="00816BE1"/>
    <w:rsid w:val="00834D94"/>
    <w:rsid w:val="008353BC"/>
    <w:rsid w:val="00844687"/>
    <w:rsid w:val="00850876"/>
    <w:rsid w:val="0087748C"/>
    <w:rsid w:val="0089524E"/>
    <w:rsid w:val="008A5E4F"/>
    <w:rsid w:val="008E2D98"/>
    <w:rsid w:val="00923AD6"/>
    <w:rsid w:val="00934629"/>
    <w:rsid w:val="00965094"/>
    <w:rsid w:val="009B1A6B"/>
    <w:rsid w:val="009B396F"/>
    <w:rsid w:val="009E3E49"/>
    <w:rsid w:val="009F192D"/>
    <w:rsid w:val="00A4356C"/>
    <w:rsid w:val="00A56821"/>
    <w:rsid w:val="00A849CD"/>
    <w:rsid w:val="00A94D83"/>
    <w:rsid w:val="00AE07E7"/>
    <w:rsid w:val="00AF308B"/>
    <w:rsid w:val="00B06A2D"/>
    <w:rsid w:val="00B12446"/>
    <w:rsid w:val="00B34A15"/>
    <w:rsid w:val="00B4780F"/>
    <w:rsid w:val="00B87343"/>
    <w:rsid w:val="00BA57D0"/>
    <w:rsid w:val="00BB72E2"/>
    <w:rsid w:val="00BC1E8C"/>
    <w:rsid w:val="00BE33EA"/>
    <w:rsid w:val="00BE6289"/>
    <w:rsid w:val="00BF7C78"/>
    <w:rsid w:val="00C31165"/>
    <w:rsid w:val="00C36047"/>
    <w:rsid w:val="00CE18D3"/>
    <w:rsid w:val="00D077B8"/>
    <w:rsid w:val="00D20E6B"/>
    <w:rsid w:val="00D27087"/>
    <w:rsid w:val="00D35781"/>
    <w:rsid w:val="00D447B2"/>
    <w:rsid w:val="00DA4B4E"/>
    <w:rsid w:val="00E238EB"/>
    <w:rsid w:val="00E4576B"/>
    <w:rsid w:val="00E62B70"/>
    <w:rsid w:val="00E643F7"/>
    <w:rsid w:val="00E7136A"/>
    <w:rsid w:val="00E818FF"/>
    <w:rsid w:val="00E86E3A"/>
    <w:rsid w:val="00EA3165"/>
    <w:rsid w:val="00EE1863"/>
    <w:rsid w:val="00EF538D"/>
    <w:rsid w:val="00F03EC3"/>
    <w:rsid w:val="00F400D3"/>
    <w:rsid w:val="00F74335"/>
    <w:rsid w:val="00FC06BE"/>
    <w:rsid w:val="00FC5C23"/>
    <w:rsid w:val="00FC5ECF"/>
    <w:rsid w:val="00FD7451"/>
    <w:rsid w:val="00FE5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4B6F38-E28D-4AC0-83EA-345E39E3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2B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2B70"/>
  </w:style>
  <w:style w:type="paragraph" w:styleId="Pidipagina">
    <w:name w:val="footer"/>
    <w:basedOn w:val="Normale"/>
    <w:link w:val="PidipaginaCarattere"/>
    <w:uiPriority w:val="99"/>
    <w:unhideWhenUsed/>
    <w:rsid w:val="00E62B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2B70"/>
  </w:style>
  <w:style w:type="paragraph" w:styleId="Sottotitolo">
    <w:name w:val="Subtitle"/>
    <w:basedOn w:val="Normale"/>
    <w:next w:val="Normale"/>
    <w:link w:val="SottotitoloCarattere"/>
    <w:uiPriority w:val="11"/>
    <w:qFormat/>
    <w:rsid w:val="00B87343"/>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B87343"/>
    <w:rPr>
      <w:rFonts w:eastAsiaTheme="minorEastAsia"/>
      <w:color w:val="5A5A5A" w:themeColor="text1" w:themeTint="A5"/>
      <w:spacing w:val="15"/>
    </w:rPr>
  </w:style>
  <w:style w:type="paragraph" w:styleId="Paragrafoelenco">
    <w:name w:val="List Paragraph"/>
    <w:basedOn w:val="Normale"/>
    <w:uiPriority w:val="34"/>
    <w:qFormat/>
    <w:rsid w:val="00B87343"/>
    <w:pPr>
      <w:ind w:left="720"/>
      <w:contextualSpacing/>
    </w:pPr>
  </w:style>
  <w:style w:type="table" w:styleId="Grigliatabella">
    <w:name w:val="Table Grid"/>
    <w:basedOn w:val="Tabellanormale"/>
    <w:uiPriority w:val="39"/>
    <w:rsid w:val="00E8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9</Pages>
  <Words>3310</Words>
  <Characters>18869</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cotzia</dc:creator>
  <cp:keywords/>
  <dc:description/>
  <cp:lastModifiedBy>daniela cotzia</cp:lastModifiedBy>
  <cp:revision>70</cp:revision>
  <dcterms:created xsi:type="dcterms:W3CDTF">2017-04-12T10:42:00Z</dcterms:created>
  <dcterms:modified xsi:type="dcterms:W3CDTF">2017-04-14T12:39:00Z</dcterms:modified>
</cp:coreProperties>
</file>